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b/>
          <w:bCs/>
          <w:color w:val="8A6D34"/>
          <w:sz w:val="32"/>
          <w:szCs w:val="32"/>
        </w:rPr>
        <w:t xml:space="preserve">Project Status Review: Executive Summary</w:t>
      </w:r>
    </w:p>
    <w:p>
      <w:pPr>
        <w:spacing w:after="40"/>
      </w:pPr>
      <w:r>
        <w:rPr>
          <w:rFonts w:ascii="Arial" w:cs="Arial" w:eastAsia="Arial" w:hAnsi="Arial"/>
          <w:b/>
          <w:bCs/>
          <w:color w:val="333333"/>
          <w:sz w:val="22"/>
          <w:szCs w:val="22"/>
        </w:rPr>
        <w:t xml:space="preserve">Project: </w:t>
      </w:r>
      <w:r>
        <w:rPr>
          <w:rFonts w:ascii="Arial" w:cs="Arial" w:eastAsia="Arial" w:hAnsi="Arial"/>
          <w:color w:val="333333"/>
          <w:sz w:val="22"/>
          <w:szCs w:val="22"/>
        </w:rPr>
        <w:t xml:space="preserve">Northgate Retail Centre, brownfield mixed-use development (3 levels, ~42,000 m²)</w:t>
      </w:r>
    </w:p>
    <w:p>
      <w:pPr>
        <w:spacing w:after="40"/>
      </w:pPr>
      <w:r>
        <w:rPr>
          <w:rFonts w:ascii="Arial" w:cs="Arial" w:eastAsia="Arial" w:hAnsi="Arial"/>
          <w:b/>
          <w:bCs/>
          <w:color w:val="333333"/>
          <w:sz w:val="22"/>
          <w:szCs w:val="22"/>
        </w:rPr>
        <w:t xml:space="preserve">Client / Developer: </w:t>
      </w:r>
      <w:r>
        <w:rPr>
          <w:rFonts w:ascii="Arial" w:cs="Arial" w:eastAsia="Arial" w:hAnsi="Arial"/>
          <w:color w:val="333333"/>
          <w:sz w:val="22"/>
          <w:szCs w:val="22"/>
        </w:rPr>
        <w:t xml:space="preserve">Meridian Land</w:t>
      </w:r>
    </w:p>
    <w:p>
      <w:pPr>
        <w:spacing w:after="40"/>
      </w:pPr>
      <w:r>
        <w:rPr>
          <w:rFonts w:ascii="Arial" w:cs="Arial" w:eastAsia="Arial" w:hAnsi="Arial"/>
          <w:b/>
          <w:bCs/>
          <w:color w:val="333333"/>
          <w:sz w:val="22"/>
          <w:szCs w:val="22"/>
        </w:rPr>
        <w:t xml:space="preserve">Prepared by: </w:t>
      </w:r>
      <w:r>
        <w:rPr>
          <w:rFonts w:ascii="Arial" w:cs="Arial" w:eastAsia="Arial" w:hAnsi="Arial"/>
          <w:color w:val="333333"/>
          <w:sz w:val="22"/>
          <w:szCs w:val="22"/>
        </w:rPr>
        <w:t xml:space="preserve">Daniel Cross, Project Director, Apex Project Management  |  11 Jul 2026</w:t>
      </w:r>
    </w:p>
    <w:p>
      <w:pPr>
        <w:spacing w:after="40"/>
      </w:pPr>
      <w:r>
        <w:rPr>
          <w:rFonts w:ascii="Arial" w:cs="Arial" w:eastAsia="Arial" w:hAnsi="Arial"/>
          <w:b/>
          <w:bCs/>
          <w:color w:val="333333"/>
          <w:sz w:val="22"/>
          <w:szCs w:val="22"/>
        </w:rPr>
        <w:t xml:space="preserve">Reporting point: </w:t>
      </w:r>
      <w:r>
        <w:rPr>
          <w:rFonts w:ascii="Arial" w:cs="Arial" w:eastAsia="Arial" w:hAnsi="Arial"/>
          <w:color w:val="333333"/>
          <w:sz w:val="22"/>
          <w:szCs w:val="22"/>
        </w:rPr>
        <w:t xml:space="preserve">Month 9 of 22  |  For: Meridian Land Senior Management</w:t>
      </w:r>
    </w:p>
    <w:p>
      <w:pPr>
        <w:spacing w:after="40"/>
      </w:pPr>
      <w:r>
        <w:rPr>
          <w:rFonts w:ascii="Arial" w:cs="Arial" w:eastAsia="Arial" w:hAnsi="Arial"/>
          <w:b/>
          <w:bCs/>
          <w:color w:val="333333"/>
          <w:sz w:val="22"/>
          <w:szCs w:val="22"/>
        </w:rPr>
        <w:t xml:space="preserve">Next milestone: </w:t>
      </w:r>
      <w:r>
        <w:rPr>
          <w:rFonts w:ascii="Arial" w:cs="Arial" w:eastAsia="Arial" w:hAnsi="Arial"/>
          <w:color w:val="333333"/>
          <w:sz w:val="22"/>
          <w:szCs w:val="22"/>
        </w:rPr>
        <w:t xml:space="preserve">Project Team Meeting PTM #14 in 6 days (17 Jul 2026)</w:t>
      </w:r>
    </w:p>
    <w:p>
      <w:pPr>
        <w:pBdr>
          <w:bottom w:val="single" w:color="8A6D34" w:sz="20"/>
        </w:pBdr>
        <w:spacing w:after="200"/>
      </w:pPr>
      <w:r>
        <w:rPr>
          <w:sz w:val="4"/>
          <w:szCs w:val="4"/>
        </w:rPr>
        <w:t xml:space="preserve"/>
      </w:r>
    </w:p>
    <w:p>
      <w:pPr>
        <w:pBdr>
          <w:bottom w:val="single" w:color="8A6D34" w:sz="8"/>
        </w:pBdr>
        <w:spacing w:after="80" w:before="140"/>
      </w:pPr>
      <w:r>
        <w:rPr>
          <w:rFonts w:ascii="Arial" w:cs="Arial" w:eastAsia="Arial" w:hAnsi="Arial"/>
          <w:b/>
          <w:bCs/>
          <w:color w:val="8A6D34"/>
          <w:sz w:val="26"/>
          <w:szCs w:val="26"/>
        </w:rPr>
        <w:t xml:space="preserve">1.  Executive Summary</w:t>
      </w:r>
    </w:p>
    <w:p>
      <w:pPr>
        <w:spacing w:after="100"/>
      </w:pPr>
      <w:r>
        <w:rPr>
          <w:rFonts w:ascii="Arial" w:cs="Arial" w:eastAsia="Arial" w:hAnsi="Arial"/>
          <w:color w:val="333333"/>
          <w:sz w:val="22"/>
          <w:szCs w:val="22"/>
        </w:rPr>
        <w:t xml:space="preserve">Northgate is 44% complete against a 47% plan at Month 9, a 3-point slip. Two causes: FormWorks is two weeks late on the Level 3 transfer slab design, which sits on the critical path, and wet weather ate most of last month's float. The slip is real but recoverable if the transfer slab design lands this week and the pour is resequenced. Two commercial items need direction now: a $180k Cornerstone waterproofing variation of which we dispute ~$70k, and the façade subcontract award, which is in final evaluation and holding up a long-lead package.</w:t>
      </w:r>
    </w:p>
    <w:p>
      <w:pPr>
        <w:spacing w:after="100"/>
      </w:pPr>
      <w:r>
        <w:rPr>
          <w:rFonts w:ascii="Arial" w:cs="Arial" w:eastAsia="Arial" w:hAnsi="Arial"/>
          <w:b/>
          <w:bCs/>
          <w:color w:val="333333"/>
          <w:sz w:val="22"/>
          <w:szCs w:val="22"/>
        </w:rPr>
        <w:t xml:space="preserve">Key risks: </w:t>
      </w:r>
      <w:r>
        <w:rPr>
          <w:rFonts w:ascii="Arial" w:cs="Arial" w:eastAsia="Arial" w:hAnsi="Arial"/>
          <w:color w:val="333333"/>
          <w:sz w:val="22"/>
          <w:szCs w:val="22"/>
        </w:rPr>
        <w:t xml:space="preserve">transfer slab design delay pushing the pour and consuming the last of programme float; an unagreed $70k in the waterproofing variation; façade award slipping past PTM #14 and delaying procurement of a long-lead package.</w:t>
      </w:r>
    </w:p>
    <w:p>
      <w:pPr>
        <w:spacing w:after="100"/>
      </w:pPr>
      <w:r>
        <w:rPr>
          <w:rFonts w:ascii="Arial" w:cs="Arial" w:eastAsia="Arial" w:hAnsi="Arial"/>
          <w:b/>
          <w:bCs/>
          <w:color w:val="333333"/>
          <w:sz w:val="22"/>
          <w:szCs w:val="22"/>
        </w:rPr>
        <w:t xml:space="preserve">Immediate actions: </w:t>
      </w:r>
      <w:r>
        <w:rPr>
          <w:rFonts w:ascii="Arial" w:cs="Arial" w:eastAsia="Arial" w:hAnsi="Arial"/>
          <w:color w:val="333333"/>
          <w:sz w:val="22"/>
          <w:szCs w:val="22"/>
        </w:rPr>
        <w:t xml:space="preserve">FormWorks to issue transfer slab design by 15 Jul; Apex to close the waterproofing quantum by 21 Jul; façade award recommendation to Meridian by 16 Jul, ahead of PTM #14.</w:t>
      </w:r>
    </w:p>
    <w:p>
      <w:pPr>
        <w:spacing w:after="20"/>
      </w:pPr>
      <w:r>
        <w:rPr>
          <w:sz w:val="2"/>
          <w:szCs w:val="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0C97A" w:sz="4"/>
              <w:left w:val="single" w:color="C0392B" w:sz="4"/>
              <w:bottom w:val="single" w:color="E0C97A" w:sz="4"/>
              <w:right w:val="single" w:color="E0C97A" w:sz="4"/>
            </w:tcBorders>
            <w:shd w:fill="FFF3CD" w:val="clear"/>
            <w:tcMar>
              <w:top w:type="dxa" w:w="100"/>
              <w:left w:type="dxa" w:w="150"/>
              <w:bottom w:type="dxa" w:w="100"/>
              <w:right w:type="dxa" w:w="150"/>
            </w:tcMar>
          </w:tcPr>
          <w:p>
            <w:r>
              <w:rPr>
                <w:rFonts w:ascii="Arial" w:cs="Arial" w:eastAsia="Arial" w:hAnsi="Arial"/>
                <w:b/>
                <w:bCs/>
                <w:color w:val="333333"/>
                <w:sz w:val="22"/>
                <w:szCs w:val="22"/>
              </w:rPr>
              <w:t xml:space="preserve">Risk if no action: </w:t>
            </w:r>
            <w:r>
              <w:rPr>
                <w:rFonts w:ascii="Arial" w:cs="Arial" w:eastAsia="Arial" w:hAnsi="Arial"/>
                <w:color w:val="333333"/>
                <w:sz w:val="22"/>
                <w:szCs w:val="22"/>
              </w:rPr>
              <w:t xml:space="preserve">The transfer slab pour slips beyond the last of programme float, converting a 3-point reporting slip into a hard delay to structural topping-out and every trade that follows it.</w:t>
            </w:r>
          </w:p>
        </w:tc>
      </w:tr>
    </w:tbl>
    <w:p>
      <w:pPr>
        <w:pBdr>
          <w:bottom w:val="single" w:color="8A6D34" w:sz="8"/>
        </w:pBdr>
        <w:spacing w:after="80" w:before="140"/>
      </w:pPr>
      <w:r>
        <w:rPr>
          <w:rFonts w:ascii="Arial" w:cs="Arial" w:eastAsia="Arial" w:hAnsi="Arial"/>
          <w:b/>
          <w:bCs/>
          <w:color w:val="8A6D34"/>
          <w:sz w:val="26"/>
          <w:szCs w:val="26"/>
        </w:rPr>
        <w:t xml:space="preserve">2.  Key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800"/>
        <w:gridCol w:w="2200"/>
        <w:gridCol w:w="2026"/>
      </w:tblGrid>
      <w:tr>
        <w:trPr>
          <w:tblHeader/>
        </w:trPr>
        <w:tc>
          <w:tcPr>
            <w:tcW w:type="dxa" w:w="48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Issue</w:t>
            </w:r>
          </w:p>
        </w:tc>
        <w:tc>
          <w:tcPr>
            <w:tcW w:type="dxa" w:w="22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2026"/>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Priority</w:t>
            </w:r>
          </w:p>
        </w:tc>
      </w:tr>
      <w:tr>
        <w:tc>
          <w:tcPr>
            <w:tcW w:type="dxa" w:w="4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L3 transfer slab design 2 weeks late (FormWorks); pour on critical path</w:t>
            </w:r>
          </w:p>
        </w:tc>
        <w:tc>
          <w:tcPr>
            <w:tcW w:type="dxa" w:w="22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Schedule</w:t>
            </w:r>
          </w:p>
        </w:tc>
        <w:tc>
          <w:tcPr>
            <w:tcW w:type="dxa" w:w="20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C0392B"/>
                <w:sz w:val="20"/>
                <w:szCs w:val="20"/>
              </w:rPr>
              <w:t xml:space="preserve">CRITICAL</w:t>
            </w:r>
          </w:p>
        </w:tc>
      </w:tr>
      <w:tr>
        <w:tc>
          <w:tcPr>
            <w:tcW w:type="dxa" w:w="48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Progress at 44% vs 47% planned, a 3-point slip</w:t>
            </w:r>
          </w:p>
        </w:tc>
        <w:tc>
          <w:tcPr>
            <w:tcW w:type="dxa" w:w="22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Schedule</w:t>
            </w:r>
          </w:p>
        </w:tc>
        <w:tc>
          <w:tcPr>
            <w:tcW w:type="dxa" w:w="202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b/>
                <w:bCs/>
                <w:color w:val="E67E22"/>
                <w:sz w:val="20"/>
                <w:szCs w:val="20"/>
              </w:rPr>
              <w:t xml:space="preserve">HIGH</w:t>
            </w:r>
          </w:p>
        </w:tc>
      </w:tr>
      <w:tr>
        <w:tc>
          <w:tcPr>
            <w:tcW w:type="dxa" w:w="4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Basement waterproofing variation: ~$70k of $180k disputed</w:t>
            </w:r>
          </w:p>
        </w:tc>
        <w:tc>
          <w:tcPr>
            <w:tcW w:type="dxa" w:w="22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Cost</w:t>
            </w:r>
          </w:p>
        </w:tc>
        <w:tc>
          <w:tcPr>
            <w:tcW w:type="dxa" w:w="20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E67E22"/>
                <w:sz w:val="20"/>
                <w:szCs w:val="20"/>
              </w:rPr>
              <w:t xml:space="preserve">HIGH</w:t>
            </w:r>
          </w:p>
        </w:tc>
      </w:tr>
      <w:tr>
        <w:tc>
          <w:tcPr>
            <w:tcW w:type="dxa" w:w="48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Façade subcontract award outstanding; long-lead package held</w:t>
            </w:r>
          </w:p>
        </w:tc>
        <w:tc>
          <w:tcPr>
            <w:tcW w:type="dxa" w:w="22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Schedule, Cost</w:t>
            </w:r>
          </w:p>
        </w:tc>
        <w:tc>
          <w:tcPr>
            <w:tcW w:type="dxa" w:w="202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b/>
                <w:bCs/>
                <w:color w:val="E67E22"/>
                <w:sz w:val="20"/>
                <w:szCs w:val="20"/>
              </w:rPr>
              <w:t xml:space="preserve">HIGH</w:t>
            </w:r>
          </w:p>
        </w:tc>
      </w:tr>
      <w:tr>
        <w:tc>
          <w:tcPr>
            <w:tcW w:type="dxa" w:w="4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Wet weather in prior month eroded programme float</w:t>
            </w:r>
          </w:p>
        </w:tc>
        <w:tc>
          <w:tcPr>
            <w:tcW w:type="dxa" w:w="22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Schedule</w:t>
            </w:r>
          </w:p>
        </w:tc>
        <w:tc>
          <w:tcPr>
            <w:tcW w:type="dxa" w:w="20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F39C12"/>
                <w:sz w:val="20"/>
                <w:szCs w:val="20"/>
              </w:rPr>
              <w:t xml:space="preserve">MEDIUM</w:t>
            </w:r>
          </w:p>
        </w:tc>
      </w:tr>
    </w:tbl>
    <w:p>
      <w:pPr>
        <w:pBdr>
          <w:bottom w:val="single" w:color="8A6D34" w:sz="8"/>
        </w:pBdr>
        <w:spacing w:after="80" w:before="140"/>
      </w:pPr>
      <w:r>
        <w:rPr>
          <w:rFonts w:ascii="Arial" w:cs="Arial" w:eastAsia="Arial" w:hAnsi="Arial"/>
          <w:b/>
          <w:bCs/>
          <w:color w:val="8A6D34"/>
          <w:sz w:val="26"/>
          <w:szCs w:val="26"/>
        </w:rPr>
        <w:t xml:space="preserve">3.  Progress: Planned vs Actual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1800"/>
        <w:gridCol w:w="1826"/>
      </w:tblGrid>
      <w:tr>
        <w:trPr>
          <w:tblHeader/>
        </w:trPr>
        <w:tc>
          <w:tcPr>
            <w:tcW w:type="dxa" w:w="36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18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Planned</w:t>
            </w:r>
          </w:p>
        </w:tc>
        <w:tc>
          <w:tcPr>
            <w:tcW w:type="dxa" w:w="18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Actual</w:t>
            </w:r>
          </w:p>
        </w:tc>
        <w:tc>
          <w:tcPr>
            <w:tcW w:type="dxa" w:w="1826"/>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Variance</w:t>
            </w:r>
          </w:p>
        </w:tc>
      </w:tr>
      <w:tr>
        <w:tc>
          <w:tcPr>
            <w:tcW w:type="dxa" w:w="3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Overall completion (Month 9)</w:t>
            </w:r>
          </w:p>
        </w:tc>
        <w:tc>
          <w:tcPr>
            <w:tcW w:type="dxa" w:w="1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47%</w:t>
            </w:r>
          </w:p>
        </w:tc>
        <w:tc>
          <w:tcPr>
            <w:tcW w:type="dxa" w:w="1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44%</w:t>
            </w:r>
          </w:p>
        </w:tc>
        <w:tc>
          <w:tcPr>
            <w:tcW w:type="dxa" w:w="18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C0392B"/>
                <w:sz w:val="20"/>
                <w:szCs w:val="20"/>
              </w:rPr>
              <w:t xml:space="preserve">-3 pts</w:t>
            </w:r>
          </w:p>
        </w:tc>
      </w:tr>
      <w:tr>
        <w:tc>
          <w:tcPr>
            <w:tcW w:type="dxa" w:w="36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Critical path</w:t>
            </w:r>
          </w:p>
        </w:tc>
        <w:tc>
          <w:tcPr>
            <w:tcW w:type="dxa" w:w="18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L3 transfer slab design complete</w:t>
            </w:r>
          </w:p>
        </w:tc>
        <w:tc>
          <w:tcPr>
            <w:tcW w:type="dxa" w:w="18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Design 2 wks late</w:t>
            </w:r>
          </w:p>
        </w:tc>
        <w:tc>
          <w:tcPr>
            <w:tcW w:type="dxa" w:w="182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b/>
                <w:bCs/>
                <w:color w:val="C0392B"/>
                <w:sz w:val="20"/>
                <w:szCs w:val="20"/>
              </w:rPr>
              <w:t xml:space="preserve">-2 wks</w:t>
            </w:r>
          </w:p>
        </w:tc>
      </w:tr>
      <w:tr>
        <w:tc>
          <w:tcPr>
            <w:tcW w:type="dxa" w:w="3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Prior-month float</w:t>
            </w:r>
          </w:p>
        </w:tc>
        <w:tc>
          <w:tcPr>
            <w:tcW w:type="dxa" w:w="1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Intact</w:t>
            </w:r>
          </w:p>
        </w:tc>
        <w:tc>
          <w:tcPr>
            <w:tcW w:type="dxa" w:w="18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Largely consumed (weather)</w:t>
            </w:r>
          </w:p>
        </w:tc>
        <w:tc>
          <w:tcPr>
            <w:tcW w:type="dxa" w:w="18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E67E22"/>
                <w:sz w:val="20"/>
                <w:szCs w:val="20"/>
              </w:rPr>
              <w:t xml:space="preserve">Eroded</w:t>
            </w:r>
          </w:p>
        </w:tc>
      </w:tr>
    </w:tbl>
    <w:p>
      <w:pPr>
        <w:spacing w:after="20"/>
      </w:pPr>
      <w:r>
        <w:rPr>
          <w:sz w:val="2"/>
          <w:szCs w:val="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4"/>
              <w:left w:val="single" w:color="8A6D34" w:sz="24"/>
              <w:bottom w:val="single" w:color="CCCCCC" w:sz="4"/>
              <w:right w:val="single" w:color="CCCCCC" w:sz="4"/>
            </w:tcBorders>
            <w:shd w:fill="F2F2F2" w:val="clear"/>
            <w:tcMar>
              <w:top w:type="dxa" w:w="100"/>
              <w:left w:type="dxa" w:w="150"/>
              <w:bottom w:type="dxa" w:w="100"/>
              <w:right w:type="dxa" w:w="150"/>
            </w:tcMar>
          </w:tcPr>
          <w:p>
            <w:r>
              <w:rPr>
                <w:rFonts w:ascii="Arial" w:cs="Arial" w:eastAsia="Arial" w:hAnsi="Arial"/>
                <w:b/>
                <w:bCs/>
                <w:color w:val="333333"/>
                <w:sz w:val="22"/>
                <w:szCs w:val="22"/>
              </w:rPr>
              <w:t xml:space="preserve">So what: </w:t>
            </w:r>
            <w:r>
              <w:rPr>
                <w:rFonts w:ascii="Arial" w:cs="Arial" w:eastAsia="Arial" w:hAnsi="Arial"/>
                <w:color w:val="333333"/>
                <w:sz w:val="22"/>
                <w:szCs w:val="22"/>
              </w:rPr>
              <w:t xml:space="preserve">A 3-point slip at Month 9 is not fatal, but it is concentrated in one place. The critical path runs through the transfer slab design, not through construction. Cornerstone is not the problem here; FormWorks and the weather are. Recovery depends on the design landing this week and the pour being resequenced, not on pushing the contractor harder on site.</w:t>
            </w:r>
          </w:p>
        </w:tc>
      </w:tr>
    </w:tbl>
    <w:p>
      <w:pPr>
        <w:pBdr>
          <w:bottom w:val="single" w:color="8A6D34" w:sz="8"/>
        </w:pBdr>
        <w:spacing w:after="80" w:before="140"/>
      </w:pPr>
      <w:r>
        <w:rPr>
          <w:rFonts w:ascii="Arial" w:cs="Arial" w:eastAsia="Arial" w:hAnsi="Arial"/>
          <w:b/>
          <w:bCs/>
          <w:color w:val="8A6D34"/>
          <w:sz w:val="26"/>
          <w:szCs w:val="26"/>
        </w:rPr>
        <w:t xml:space="preserve">4.  Commercial: Basement Waterproofing Variation</w:t>
      </w:r>
    </w:p>
    <w:p>
      <w:pPr>
        <w:spacing w:after="100"/>
      </w:pPr>
      <w:r>
        <w:rPr>
          <w:rFonts w:ascii="Arial" w:cs="Arial" w:eastAsia="Arial" w:hAnsi="Arial"/>
          <w:color w:val="333333"/>
          <w:sz w:val="22"/>
          <w:szCs w:val="22"/>
        </w:rPr>
        <w:t xml:space="preserve">Cornerstone has submitted a variation of ~$180k for revised basement waterproofing. Apex has reviewed it and accepts roughly $110k as legitimate. We dispute ~$70k. Our assessment, based on the submission and the tender scope, is that part of the claim covers work already priced in the base contract waterproofing scope, and part applies rates above the contract schedule.</w:t>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400"/>
        <w:gridCol w:w="1875"/>
        <w:gridCol w:w="1875"/>
        <w:gridCol w:w="2076"/>
      </w:tblGrid>
      <w:tr>
        <w:trPr>
          <w:tblHeader/>
        </w:trPr>
        <w:tc>
          <w:tcPr>
            <w:tcW w:type="dxa" w:w="34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Line</w:t>
            </w:r>
          </w:p>
        </w:tc>
        <w:tc>
          <w:tcPr>
            <w:tcW w:type="dxa" w:w="1875"/>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Claimed</w:t>
            </w:r>
          </w:p>
        </w:tc>
        <w:tc>
          <w:tcPr>
            <w:tcW w:type="dxa" w:w="1875"/>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Apex position</w:t>
            </w:r>
          </w:p>
        </w:tc>
        <w:tc>
          <w:tcPr>
            <w:tcW w:type="dxa" w:w="2076"/>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Gap</w:t>
            </w:r>
          </w:p>
        </w:tc>
      </w:tr>
      <w:tr>
        <w:tc>
          <w:tcPr>
            <w:tcW w:type="dxa" w:w="34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Revised membrane system (design change)</w:t>
            </w:r>
          </w:p>
        </w:tc>
        <w:tc>
          <w:tcPr>
            <w:tcW w:type="dxa" w:w="1875"/>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$110,000</w:t>
            </w:r>
          </w:p>
        </w:tc>
        <w:tc>
          <w:tcPr>
            <w:tcW w:type="dxa" w:w="1875"/>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Accepted</w:t>
            </w:r>
          </w:p>
        </w:tc>
        <w:tc>
          <w:tcPr>
            <w:tcW w:type="dxa" w:w="207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C2A878"/>
                <w:sz w:val="20"/>
                <w:szCs w:val="20"/>
              </w:rPr>
              <w:t xml:space="preserve">$0</w:t>
            </w:r>
          </w:p>
        </w:tc>
      </w:tr>
      <w:tr>
        <w:tc>
          <w:tcPr>
            <w:tcW w:type="dxa" w:w="34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Additional prep / detailing</w:t>
            </w:r>
          </w:p>
        </w:tc>
        <w:tc>
          <w:tcPr>
            <w:tcW w:type="dxa" w:w="1875"/>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$45,000</w:t>
            </w:r>
          </w:p>
        </w:tc>
        <w:tc>
          <w:tcPr>
            <w:tcW w:type="dxa" w:w="1875"/>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Partly in base scope</w:t>
            </w:r>
          </w:p>
        </w:tc>
        <w:tc>
          <w:tcPr>
            <w:tcW w:type="dxa" w:w="207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b/>
                <w:bCs/>
                <w:color w:val="C0392B"/>
                <w:sz w:val="20"/>
                <w:szCs w:val="20"/>
              </w:rPr>
              <w:t xml:space="preserve">~$40,000</w:t>
            </w:r>
          </w:p>
        </w:tc>
      </w:tr>
      <w:tr>
        <w:tc>
          <w:tcPr>
            <w:tcW w:type="dxa" w:w="34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Rate uplift vs contract schedule</w:t>
            </w:r>
          </w:p>
        </w:tc>
        <w:tc>
          <w:tcPr>
            <w:tcW w:type="dxa" w:w="1875"/>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$25,000</w:t>
            </w:r>
          </w:p>
        </w:tc>
        <w:tc>
          <w:tcPr>
            <w:tcW w:type="dxa" w:w="1875"/>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Disputed</w:t>
            </w:r>
          </w:p>
        </w:tc>
        <w:tc>
          <w:tcPr>
            <w:tcW w:type="dxa" w:w="207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b/>
                <w:bCs/>
                <w:color w:val="C0392B"/>
                <w:sz w:val="20"/>
                <w:szCs w:val="20"/>
              </w:rPr>
              <w:t xml:space="preserve">~$30,000</w:t>
            </w:r>
          </w:p>
        </w:tc>
      </w:tr>
      <w:tr>
        <w:tc>
          <w:tcPr>
            <w:tcW w:type="dxa" w:w="34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Total</w:t>
            </w:r>
          </w:p>
        </w:tc>
        <w:tc>
          <w:tcPr>
            <w:tcW w:type="dxa" w:w="1875"/>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$180,000</w:t>
            </w:r>
          </w:p>
        </w:tc>
        <w:tc>
          <w:tcPr>
            <w:tcW w:type="dxa" w:w="1875"/>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~$110,000 agreed</w:t>
            </w:r>
          </w:p>
        </w:tc>
        <w:tc>
          <w:tcPr>
            <w:tcW w:type="dxa" w:w="207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b/>
                <w:bCs/>
                <w:color w:val="C0392B"/>
                <w:sz w:val="20"/>
                <w:szCs w:val="20"/>
              </w:rPr>
              <w:t xml:space="preserve">~$70,000</w:t>
            </w:r>
          </w:p>
        </w:tc>
      </w:tr>
    </w:tbl>
    <w:p>
      <w:pPr>
        <w:spacing w:after="20"/>
      </w:pPr>
      <w:r>
        <w:rPr>
          <w:sz w:val="2"/>
          <w:szCs w:val="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4"/>
              <w:left w:val="single" w:color="8A6D34" w:sz="24"/>
              <w:bottom w:val="single" w:color="CCCCCC" w:sz="4"/>
              <w:right w:val="single" w:color="CCCCCC" w:sz="4"/>
            </w:tcBorders>
            <w:shd w:fill="F2F2F2" w:val="clear"/>
            <w:tcMar>
              <w:top w:type="dxa" w:w="100"/>
              <w:left w:type="dxa" w:w="150"/>
              <w:bottom w:type="dxa" w:w="100"/>
              <w:right w:type="dxa" w:w="150"/>
            </w:tcMar>
          </w:tcPr>
          <w:p>
            <w:r>
              <w:rPr>
                <w:rFonts w:ascii="Arial" w:cs="Arial" w:eastAsia="Arial" w:hAnsi="Arial"/>
                <w:b/>
                <w:bCs/>
                <w:color w:val="333333"/>
                <w:sz w:val="22"/>
                <w:szCs w:val="22"/>
              </w:rPr>
              <w:t xml:space="preserve">So what: </w:t>
            </w:r>
            <w:r>
              <w:rPr>
                <w:rFonts w:ascii="Arial" w:cs="Arial" w:eastAsia="Arial" w:hAnsi="Arial"/>
                <w:color w:val="333333"/>
                <w:sz w:val="22"/>
                <w:szCs w:val="22"/>
              </w:rPr>
              <w:t xml:space="preserve">About $110k of this is genuine and should be agreed quickly to keep the basement moving. The ~$70k gap is where the dispute sits: scope overlap with the base contract and rates above the agreed schedule. Do not let the whole $180k stall on the disputed portion. Agree the $110k now, ring-fence the $70k for substantiation, and get FormWorks and Studio Arc to confirm what the base waterproofing scope actually covered.</w:t>
            </w:r>
          </w:p>
        </w:tc>
      </w:tr>
    </w:tbl>
    <w:p>
      <w:pPr>
        <w:spacing w:after="40"/>
      </w:pPr>
      <w:r>
        <w:rPr>
          <w:sz w:val="2"/>
          <w:szCs w:val="2"/>
        </w:rPr>
        <w:t xml:space="preserve"/>
      </w:r>
    </w:p>
    <w:p>
      <w:pPr>
        <w:spacing w:after="100"/>
      </w:pPr>
      <w:r>
        <w:rPr>
          <w:rFonts w:ascii="Arial" w:cs="Arial" w:eastAsia="Arial" w:hAnsi="Arial"/>
          <w:b/>
          <w:bCs/>
          <w:color w:val="333333"/>
          <w:sz w:val="22"/>
          <w:szCs w:val="22"/>
        </w:rPr>
        <w:t xml:space="preserve">Note: </w:t>
      </w:r>
      <w:r>
        <w:rPr>
          <w:rFonts w:ascii="Arial" w:cs="Arial" w:eastAsia="Arial" w:hAnsi="Arial"/>
          <w:i/>
          <w:iCs/>
          <w:color w:val="333333"/>
          <w:sz w:val="22"/>
          <w:szCs w:val="22"/>
        </w:rPr>
        <w:t xml:space="preserve">gap figures are Apex's assessment pending Cornerstone substantiation and design-intent confirmation; individual lines are indicative and sum to the ~$70k disputed total.</w:t>
      </w:r>
    </w:p>
    <w:p>
      <w:pPr>
        <w:pBdr>
          <w:bottom w:val="single" w:color="8A6D34" w:sz="8"/>
        </w:pBdr>
        <w:spacing w:after="80" w:before="140"/>
      </w:pPr>
      <w:r>
        <w:rPr>
          <w:rFonts w:ascii="Arial" w:cs="Arial" w:eastAsia="Arial" w:hAnsi="Arial"/>
          <w:b/>
          <w:bCs/>
          <w:color w:val="8A6D34"/>
          <w:sz w:val="26"/>
          <w:szCs w:val="26"/>
        </w:rPr>
        <w:t xml:space="preserve">5.  Façade Subcontract: Award Pending</w:t>
      </w:r>
    </w:p>
    <w:p>
      <w:pPr>
        <w:spacing w:after="100"/>
      </w:pPr>
      <w:r>
        <w:rPr>
          <w:rFonts w:ascii="Arial" w:cs="Arial" w:eastAsia="Arial" w:hAnsi="Arial"/>
          <w:color w:val="333333"/>
          <w:sz w:val="22"/>
          <w:szCs w:val="22"/>
        </w:rPr>
        <w:t xml:space="preserve">The façade package is in final evaluation. Three bidders remain. The award decision is due and is holding a long-lead package; every week of delay here erodes the recovery room we still have on the programme.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100"/>
        <w:gridCol w:w="2726"/>
        <w:gridCol w:w="1600"/>
      </w:tblGrid>
      <w:tr>
        <w:trPr>
          <w:tblHeader/>
        </w:trPr>
        <w:tc>
          <w:tcPr>
            <w:tcW w:type="dxa" w:w="26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Bidder</w:t>
            </w:r>
          </w:p>
        </w:tc>
        <w:tc>
          <w:tcPr>
            <w:tcW w:type="dxa" w:w="21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Price</w:t>
            </w:r>
          </w:p>
        </w:tc>
        <w:tc>
          <w:tcPr>
            <w:tcW w:type="dxa" w:w="2726"/>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Technical</w:t>
            </w:r>
          </w:p>
        </w:tc>
        <w:tc>
          <w:tcPr>
            <w:tcW w:type="dxa" w:w="16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Programme</w:t>
            </w:r>
          </w:p>
        </w:tc>
      </w:tr>
      <w:tr>
        <w:tc>
          <w:tcPr>
            <w:tcW w:type="dxa" w:w="2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BuildRight Facades</w:t>
            </w:r>
          </w:p>
        </w:tc>
        <w:tc>
          <w:tcPr>
            <w:tcW w:type="dxa" w:w="21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Lowest</w:t>
            </w:r>
          </w:p>
        </w:tc>
        <w:tc>
          <w:tcPr>
            <w:tcW w:type="dxa" w:w="27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Some scope gaps</w:t>
            </w:r>
          </w:p>
        </w:tc>
        <w:tc>
          <w:tcPr>
            <w:tcW w:type="dxa" w:w="1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Standard</w:t>
            </w:r>
          </w:p>
        </w:tc>
      </w:tr>
      <w:tr>
        <w:tc>
          <w:tcPr>
            <w:tcW w:type="dxa" w:w="26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Vertex Envelope</w:t>
            </w:r>
          </w:p>
        </w:tc>
        <w:tc>
          <w:tcPr>
            <w:tcW w:type="dxa" w:w="21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Mid</w:t>
            </w:r>
          </w:p>
        </w:tc>
        <w:tc>
          <w:tcPr>
            <w:tcW w:type="dxa" w:w="272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Strongest technical</w:t>
            </w:r>
          </w:p>
        </w:tc>
        <w:tc>
          <w:tcPr>
            <w:tcW w:type="dxa" w:w="16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Standard</w:t>
            </w:r>
          </w:p>
        </w:tc>
      </w:tr>
      <w:tr>
        <w:tc>
          <w:tcPr>
            <w:tcW w:type="dxa" w:w="2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Clad-Tech Systems</w:t>
            </w:r>
          </w:p>
        </w:tc>
        <w:tc>
          <w:tcPr>
            <w:tcW w:type="dxa" w:w="21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Highest</w:t>
            </w:r>
          </w:p>
        </w:tc>
        <w:tc>
          <w:tcPr>
            <w:tcW w:type="dxa" w:w="272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Compliant</w:t>
            </w:r>
          </w:p>
        </w:tc>
        <w:tc>
          <w:tcPr>
            <w:tcW w:type="dxa" w:w="16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Fastest</w:t>
            </w:r>
          </w:p>
        </w:tc>
      </w:tr>
    </w:tbl>
    <w:p>
      <w:pPr>
        <w:spacing w:after="20"/>
      </w:pPr>
      <w:r>
        <w:rPr>
          <w:sz w:val="2"/>
          <w:szCs w:val="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4"/>
              <w:left w:val="single" w:color="8A6D34" w:sz="24"/>
              <w:bottom w:val="single" w:color="CCCCCC" w:sz="4"/>
              <w:right w:val="single" w:color="CCCCCC" w:sz="4"/>
            </w:tcBorders>
            <w:shd w:fill="F2F2F2" w:val="clear"/>
            <w:tcMar>
              <w:top w:type="dxa" w:w="100"/>
              <w:left w:type="dxa" w:w="150"/>
              <w:bottom w:type="dxa" w:w="100"/>
              <w:right w:type="dxa" w:w="150"/>
            </w:tcMar>
          </w:tcPr>
          <w:p>
            <w:r>
              <w:rPr>
                <w:rFonts w:ascii="Arial" w:cs="Arial" w:eastAsia="Arial" w:hAnsi="Arial"/>
                <w:b/>
                <w:bCs/>
                <w:color w:val="333333"/>
                <w:sz w:val="22"/>
                <w:szCs w:val="22"/>
              </w:rPr>
              <w:t xml:space="preserve">So what: </w:t>
            </w:r>
            <w:r>
              <w:rPr>
                <w:rFonts w:ascii="Arial" w:cs="Arial" w:eastAsia="Arial" w:hAnsi="Arial"/>
                <w:color w:val="333333"/>
                <w:sz w:val="22"/>
                <w:szCs w:val="22"/>
              </w:rPr>
              <w:t xml:space="preserve">Lowest price carries scope gaps that usually resurface as variations. Northgate is already carrying one of those. On a package this size and this exposed to the critical path, buying certainty is worth more than buying the lowest number. Apex's lean is Vertex on technical strength, with Clad-Tech as the fallback if programme recovery becomes the deciding factor. Recommendation goes to Meridian by 16 Jul so the award clears before PTM #14.</w:t>
            </w:r>
          </w:p>
        </w:tc>
      </w:tr>
    </w:tbl>
    <w:p>
      <w:pPr>
        <w:pBdr>
          <w:bottom w:val="single" w:color="8A6D34" w:sz="8"/>
        </w:pBdr>
        <w:spacing w:after="80" w:before="140"/>
      </w:pPr>
      <w:r>
        <w:rPr>
          <w:rFonts w:ascii="Arial" w:cs="Arial" w:eastAsia="Arial" w:hAnsi="Arial"/>
          <w:b/>
          <w:bCs/>
          <w:color w:val="8A6D34"/>
          <w:sz w:val="26"/>
          <w:szCs w:val="26"/>
        </w:rPr>
        <w:t xml:space="preserve">6.  Recommended Next Actions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60"/>
        <w:gridCol w:w="5266"/>
        <w:gridCol w:w="1900"/>
        <w:gridCol w:w="1300"/>
      </w:tblGrid>
      <w:tr>
        <w:trPr>
          <w:tblHeader/>
        </w:trPr>
        <w:tc>
          <w:tcPr>
            <w:tcW w:type="dxa" w:w="56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5266"/>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19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Owner</w:t>
            </w:r>
          </w:p>
        </w:tc>
        <w:tc>
          <w:tcPr>
            <w:tcW w:type="dxa" w:w="1300"/>
            <w:tcBorders>
              <w:top w:val="single" w:color="8A6D34" w:sz="4"/>
              <w:left w:val="single" w:color="8A6D34" w:sz="4"/>
              <w:bottom w:val="single" w:color="8A6D34" w:sz="4"/>
              <w:right w:val="single" w:color="8A6D34" w:sz="4"/>
            </w:tcBorders>
            <w:shd w:fill="8A6D34" w:val="clear"/>
            <w:tcMar>
              <w:top w:type="dxa" w:w="80"/>
              <w:left w:type="dxa" w:w="120"/>
              <w:bottom w:type="dxa" w:w="80"/>
              <w:right w:type="dxa" w:w="120"/>
            </w:tcMar>
          </w:tcPr>
          <w:p>
            <w:r>
              <w:rPr>
                <w:rFonts w:ascii="Arial" w:cs="Arial" w:eastAsia="Arial" w:hAnsi="Arial"/>
                <w:b/>
                <w:bCs/>
                <w:color w:val="FFFFFF"/>
                <w:sz w:val="20"/>
                <w:szCs w:val="20"/>
              </w:rPr>
              <w:t xml:space="preserve">Due</w:t>
            </w:r>
          </w:p>
        </w:tc>
      </w:tr>
      <w:tr>
        <w:tc>
          <w:tcPr>
            <w:tcW w:type="dxa" w:w="56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1</w:t>
            </w:r>
          </w:p>
        </w:tc>
        <w:tc>
          <w:tcPr>
            <w:tcW w:type="dxa" w:w="526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Issue L3 transfer slab design and resequence the pour to protect the critical path</w:t>
            </w:r>
          </w:p>
        </w:tc>
        <w:tc>
          <w:tcPr>
            <w:tcW w:type="dxa" w:w="19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Apex → FormWorks</w:t>
            </w:r>
          </w:p>
        </w:tc>
        <w:tc>
          <w:tcPr>
            <w:tcW w:type="dxa" w:w="13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15 Jul 2026</w:t>
            </w:r>
          </w:p>
        </w:tc>
      </w:tr>
      <w:tr>
        <w:tc>
          <w:tcPr>
            <w:tcW w:type="dxa" w:w="56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2</w:t>
            </w:r>
          </w:p>
        </w:tc>
        <w:tc>
          <w:tcPr>
            <w:tcW w:type="dxa" w:w="526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Agree the ~$110k accepted portion of the waterproofing variation; ring-fence the ~$70k disputed</w:t>
            </w:r>
          </w:p>
        </w:tc>
        <w:tc>
          <w:tcPr>
            <w:tcW w:type="dxa" w:w="19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Apex → Cost Bureau</w:t>
            </w:r>
          </w:p>
        </w:tc>
        <w:tc>
          <w:tcPr>
            <w:tcW w:type="dxa" w:w="13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21 Jul 2026</w:t>
            </w:r>
          </w:p>
        </w:tc>
      </w:tr>
      <w:tr>
        <w:tc>
          <w:tcPr>
            <w:tcW w:type="dxa" w:w="56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3</w:t>
            </w:r>
          </w:p>
        </w:tc>
        <w:tc>
          <w:tcPr>
            <w:tcW w:type="dxa" w:w="526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Confirm base-contract waterproofing scope and design intent to substantiate the dispute</w:t>
            </w:r>
          </w:p>
        </w:tc>
        <w:tc>
          <w:tcPr>
            <w:tcW w:type="dxa" w:w="19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Studio Arc / FormWorks</w:t>
            </w:r>
          </w:p>
        </w:tc>
        <w:tc>
          <w:tcPr>
            <w:tcW w:type="dxa" w:w="13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18 Jul 2026</w:t>
            </w:r>
          </w:p>
        </w:tc>
      </w:tr>
      <w:tr>
        <w:tc>
          <w:tcPr>
            <w:tcW w:type="dxa" w:w="56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4</w:t>
            </w:r>
          </w:p>
        </w:tc>
        <w:tc>
          <w:tcPr>
            <w:tcW w:type="dxa" w:w="526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Submit façade award recommendation to Meridian for decision</w:t>
            </w:r>
          </w:p>
        </w:tc>
        <w:tc>
          <w:tcPr>
            <w:tcW w:type="dxa" w:w="19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Apex → Meridian Land</w:t>
            </w:r>
          </w:p>
        </w:tc>
        <w:tc>
          <w:tcPr>
            <w:tcW w:type="dxa" w:w="13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16 Jul 2026</w:t>
            </w:r>
          </w:p>
        </w:tc>
      </w:tr>
      <w:tr>
        <w:tc>
          <w:tcPr>
            <w:tcW w:type="dxa" w:w="56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5</w:t>
            </w:r>
          </w:p>
        </w:tc>
        <w:tc>
          <w:tcPr>
            <w:tcW w:type="dxa" w:w="5266"/>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Rebaseline the 4-week lookahead once the transfer slab date is fixed</w:t>
            </w:r>
          </w:p>
        </w:tc>
        <w:tc>
          <w:tcPr>
            <w:tcW w:type="dxa" w:w="19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Apex (J. Okafor)</w:t>
            </w:r>
          </w:p>
        </w:tc>
        <w:tc>
          <w:tcPr>
            <w:tcW w:type="dxa" w:w="1300"/>
            <w:tcBorders>
              <w:top w:val="single" w:color="D5D5D5" w:sz="4"/>
              <w:left w:val="single" w:color="D5D5D5" w:sz="4"/>
              <w:bottom w:val="single" w:color="D5D5D5" w:sz="4"/>
              <w:right w:val="single" w:color="D5D5D5"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18 Jul 2026</w:t>
            </w:r>
          </w:p>
        </w:tc>
      </w:tr>
      <w:tr>
        <w:tc>
          <w:tcPr>
            <w:tcW w:type="dxa" w:w="56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6</w:t>
            </w:r>
          </w:p>
        </w:tc>
        <w:tc>
          <w:tcPr>
            <w:tcW w:type="dxa" w:w="5266"/>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Table the slip, variation and award for direction at PTM #14</w:t>
            </w:r>
          </w:p>
        </w:tc>
        <w:tc>
          <w:tcPr>
            <w:tcW w:type="dxa" w:w="19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Apex → All</w:t>
            </w:r>
          </w:p>
        </w:tc>
        <w:tc>
          <w:tcPr>
            <w:tcW w:type="dxa" w:w="1300"/>
            <w:tcBorders>
              <w:top w:val="single" w:color="D5D5D5" w:sz="4"/>
              <w:left w:val="single" w:color="D5D5D5" w:sz="4"/>
              <w:bottom w:val="single" w:color="D5D5D5" w:sz="4"/>
              <w:right w:val="single" w:color="D5D5D5" w:sz="4"/>
            </w:tcBorders>
            <w:shd w:fill="F9F9F9" w:val="clear"/>
            <w:tcMar>
              <w:top w:type="dxa" w:w="80"/>
              <w:left w:type="dxa" w:w="120"/>
              <w:bottom w:type="dxa" w:w="80"/>
              <w:right w:type="dxa" w:w="120"/>
            </w:tcMar>
          </w:tcPr>
          <w:p>
            <w:r>
              <w:rPr>
                <w:rFonts w:ascii="Arial" w:cs="Arial" w:eastAsia="Arial" w:hAnsi="Arial"/>
                <w:color w:val="333333"/>
                <w:sz w:val="20"/>
                <w:szCs w:val="20"/>
              </w:rPr>
              <w:t xml:space="preserve">17 Jul 2026</w:t>
            </w:r>
          </w:p>
        </w:tc>
      </w:tr>
    </w:tbl>
    <w:p>
      <w:pPr>
        <w:pBdr>
          <w:bottom w:val="single" w:color="8A6D34" w:sz="8"/>
        </w:pBdr>
        <w:spacing w:after="80" w:before="140"/>
      </w:pPr>
      <w:r>
        <w:rPr>
          <w:rFonts w:ascii="Arial" w:cs="Arial" w:eastAsia="Arial" w:hAnsi="Arial"/>
          <w:b/>
          <w:bCs/>
          <w:color w:val="8A6D34"/>
          <w:sz w:val="26"/>
          <w:szCs w:val="26"/>
        </w:rPr>
        <w:t xml:space="preserve">7.  Questions to Raise at PTM #14</w:t>
      </w:r>
    </w:p>
    <w:p>
      <w:pPr>
        <w:pStyle w:val="ListParagraph"/>
        <w:numPr>
          <w:ilvl w:val="0"/>
          <w:numId w:val="1"/>
        </w:numPr>
        <w:spacing w:after="60"/>
      </w:pPr>
      <w:r>
        <w:rPr>
          <w:rFonts w:ascii="Arial" w:cs="Arial" w:eastAsia="Arial" w:hAnsi="Arial"/>
          <w:color w:val="333333"/>
          <w:sz w:val="22"/>
          <w:szCs w:val="22"/>
        </w:rPr>
        <w:t xml:space="preserve">Can FormWorks commit a hard issue date for the transfer slab design, and does that date hold the pour on the current sequence or force a resequence?</w:t>
      </w:r>
    </w:p>
    <w:p>
      <w:pPr>
        <w:pStyle w:val="ListParagraph"/>
        <w:numPr>
          <w:ilvl w:val="0"/>
          <w:numId w:val="1"/>
        </w:numPr>
        <w:spacing w:after="60"/>
      </w:pPr>
      <w:r>
        <w:rPr>
          <w:rFonts w:ascii="Arial" w:cs="Arial" w:eastAsia="Arial" w:hAnsi="Arial"/>
          <w:color w:val="333333"/>
          <w:sz w:val="22"/>
          <w:szCs w:val="22"/>
        </w:rPr>
        <w:t xml:space="preserve">Which specific lines of the waterproofing claim does Cornerstone say fall outside the base contract scope, and can they show the contract exclusion that supports it?</w:t>
      </w:r>
    </w:p>
    <w:p>
      <w:pPr>
        <w:pStyle w:val="ListParagraph"/>
        <w:numPr>
          <w:ilvl w:val="0"/>
          <w:numId w:val="1"/>
        </w:numPr>
        <w:spacing w:after="60"/>
      </w:pPr>
      <w:r>
        <w:rPr>
          <w:rFonts w:ascii="Arial" w:cs="Arial" w:eastAsia="Arial" w:hAnsi="Arial"/>
          <w:color w:val="333333"/>
          <w:sz w:val="22"/>
          <w:szCs w:val="22"/>
        </w:rPr>
        <w:t xml:space="preserve">On the façade, has BuildRight's price been levelled for the scope gaps, or is the low number hiding future variations?</w:t>
      </w:r>
    </w:p>
    <w:p>
      <w:pPr>
        <w:pStyle w:val="ListParagraph"/>
        <w:numPr>
          <w:ilvl w:val="0"/>
          <w:numId w:val="1"/>
        </w:numPr>
        <w:spacing w:after="60"/>
      </w:pPr>
      <w:r>
        <w:rPr>
          <w:rFonts w:ascii="Arial" w:cs="Arial" w:eastAsia="Arial" w:hAnsi="Arial"/>
          <w:color w:val="333333"/>
          <w:sz w:val="22"/>
          <w:szCs w:val="22"/>
        </w:rPr>
        <w:t xml:space="preserve">What is the recovery plan for the 3-point slip, and does it depend on weather that we cannot control?</w:t>
      </w:r>
    </w:p>
    <w:p>
      <w:pPr>
        <w:pBdr>
          <w:bottom w:val="single" w:color="8A6D34" w:sz="8"/>
        </w:pBdr>
        <w:spacing w:after="80" w:before="140"/>
      </w:pPr>
      <w:r>
        <w:rPr>
          <w:rFonts w:ascii="Arial" w:cs="Arial" w:eastAsia="Arial" w:hAnsi="Arial"/>
          <w:b/>
          <w:bCs/>
          <w:color w:val="8A6D34"/>
          <w:sz w:val="26"/>
          <w:szCs w:val="26"/>
        </w:rPr>
        <w:t xml:space="preserve">8.  Assumptions and Open Questions</w:t>
      </w:r>
    </w:p>
    <w:p>
      <w:pPr>
        <w:spacing w:after="100"/>
      </w:pPr>
      <w:r>
        <w:rPr>
          <w:rFonts w:ascii="Arial" w:cs="Arial" w:eastAsia="Arial" w:hAnsi="Arial"/>
          <w:b/>
          <w:bCs/>
          <w:color w:val="333333"/>
          <w:sz w:val="22"/>
          <w:szCs w:val="22"/>
        </w:rPr>
        <w:t xml:space="preserve">Assumptions:</w:t>
      </w:r>
    </w:p>
    <w:p>
      <w:pPr>
        <w:pStyle w:val="ListParagraph"/>
        <w:numPr>
          <w:ilvl w:val="0"/>
          <w:numId w:val="1"/>
        </w:numPr>
        <w:spacing w:after="60"/>
      </w:pPr>
      <w:r>
        <w:rPr>
          <w:rFonts w:ascii="Arial" w:cs="Arial" w:eastAsia="Arial" w:hAnsi="Arial"/>
          <w:color w:val="333333"/>
          <w:sz w:val="22"/>
          <w:szCs w:val="22"/>
        </w:rPr>
        <w:t xml:space="preserve">Waterproofing split ($110k accepted / $70k disputed) reflects Apex's review of the submission; line-item breakdown is indicative pending Cornerstone substantiation.</w:t>
      </w:r>
    </w:p>
    <w:p>
      <w:pPr>
        <w:pStyle w:val="ListParagraph"/>
        <w:numPr>
          <w:ilvl w:val="0"/>
          <w:numId w:val="1"/>
        </w:numPr>
        <w:spacing w:after="60"/>
      </w:pPr>
      <w:r>
        <w:rPr>
          <w:rFonts w:ascii="Arial" w:cs="Arial" w:eastAsia="Arial" w:hAnsi="Arial"/>
          <w:color w:val="333333"/>
          <w:sz w:val="22"/>
          <w:szCs w:val="22"/>
        </w:rPr>
        <w:t xml:space="preserve">Currency is USD as presented in the source data; no conversion applied.</w:t>
      </w:r>
    </w:p>
    <w:p>
      <w:pPr>
        <w:pStyle w:val="ListParagraph"/>
        <w:numPr>
          <w:ilvl w:val="0"/>
          <w:numId w:val="1"/>
        </w:numPr>
        <w:spacing w:after="60"/>
      </w:pPr>
      <w:r>
        <w:rPr>
          <w:rFonts w:ascii="Arial" w:cs="Arial" w:eastAsia="Arial" w:hAnsi="Arial"/>
          <w:color w:val="333333"/>
          <w:sz w:val="22"/>
          <w:szCs w:val="22"/>
        </w:rPr>
        <w:t xml:space="preserve">The transfer slab design is the only item currently on the critical path; other trades have float.</w:t>
      </w:r>
    </w:p>
    <w:p>
      <w:pPr>
        <w:spacing w:after="100" w:before="80"/>
      </w:pPr>
      <w:r>
        <w:rPr>
          <w:rFonts w:ascii="Arial" w:cs="Arial" w:eastAsia="Arial" w:hAnsi="Arial"/>
          <w:b/>
          <w:bCs/>
          <w:color w:val="333333"/>
          <w:sz w:val="22"/>
          <w:szCs w:val="22"/>
        </w:rPr>
        <w:t xml:space="preserve">Open questions:</w:t>
      </w:r>
      <w:r>
        <w:rPr>
          <w:rFonts w:ascii="Arial" w:cs="Arial" w:eastAsia="Arial" w:hAnsi="Arial"/>
          <w:sz w:val="22"/>
          <w:szCs w:val="22"/>
        </w:rPr>
        <w:t xml:space="preserve"/>
      </w:r>
    </w:p>
    <w:p>
      <w:pPr>
        <w:pStyle w:val="ListParagraph"/>
        <w:numPr>
          <w:ilvl w:val="0"/>
          <w:numId w:val="1"/>
        </w:numPr>
        <w:spacing w:after="60"/>
      </w:pPr>
      <w:r>
        <w:rPr>
          <w:rFonts w:ascii="Arial" w:cs="Arial" w:eastAsia="Arial" w:hAnsi="Arial"/>
          <w:color w:val="333333"/>
          <w:sz w:val="22"/>
          <w:szCs w:val="22"/>
        </w:rPr>
        <w:t xml:space="preserve">Firm transfer slab design issue date from FormWorks: outstanding.</w:t>
      </w:r>
    </w:p>
    <w:p>
      <w:pPr>
        <w:pStyle w:val="ListParagraph"/>
        <w:numPr>
          <w:ilvl w:val="0"/>
          <w:numId w:val="1"/>
        </w:numPr>
        <w:spacing w:after="60"/>
      </w:pPr>
      <w:r>
        <w:rPr>
          <w:rFonts w:ascii="Arial" w:cs="Arial" w:eastAsia="Arial" w:hAnsi="Arial"/>
          <w:color w:val="333333"/>
          <w:sz w:val="22"/>
          <w:szCs w:val="22"/>
        </w:rPr>
        <w:t xml:space="preserve">Cornerstone substantiation for the disputed $70k: not yet received.</w:t>
      </w:r>
    </w:p>
    <w:p>
      <w:pPr>
        <w:pStyle w:val="ListParagraph"/>
        <w:numPr>
          <w:ilvl w:val="0"/>
          <w:numId w:val="1"/>
        </w:numPr>
        <w:spacing w:after="60"/>
      </w:pPr>
      <w:r>
        <w:rPr>
          <w:rFonts w:ascii="Arial" w:cs="Arial" w:eastAsia="Arial" w:hAnsi="Arial"/>
          <w:color w:val="333333"/>
          <w:sz w:val="22"/>
          <w:szCs w:val="22"/>
        </w:rPr>
        <w:t xml:space="preserve">Final façade evaluation scores and levelling adjustments: in progress.</w:t>
      </w:r>
    </w:p>
    <w:p>
      <w:pPr>
        <w:pBdr>
          <w:top w:val="single" w:color="8A6D34" w:sz="8"/>
        </w:pBdr>
        <w:spacing w:after="60" w:before="200"/>
      </w:pPr>
      <w:r>
        <w:rPr>
          <w:sz w:val="4"/>
          <w:szCs w:val="4"/>
        </w:rPr>
        <w:t xml:space="preserve"/>
      </w:r>
    </w:p>
    <w:p>
      <w:pPr>
        <w:spacing w:after="0" w:before="0"/>
      </w:pPr>
      <w:r>
        <w:rPr>
          <w:rFonts w:ascii="Arial" w:cs="Arial" w:eastAsia="Arial" w:hAnsi="Arial"/>
          <w:b/>
          <w:bCs/>
          <w:color w:val="8A6D34"/>
          <w:sz w:val="22"/>
          <w:szCs w:val="22"/>
        </w:rPr>
        <w:t xml:space="preserve">Daniel Cross</w:t>
      </w:r>
    </w:p>
    <w:p>
      <w:pPr>
        <w:spacing w:after="0"/>
      </w:pPr>
      <w:r>
        <w:rPr>
          <w:rFonts w:ascii="Arial" w:cs="Arial" w:eastAsia="Arial" w:hAnsi="Arial"/>
          <w:color w:val="333333"/>
          <w:sz w:val="22"/>
          <w:szCs w:val="22"/>
        </w:rPr>
        <w:t xml:space="preserve">Project Director</w:t>
      </w:r>
    </w:p>
    <w:p>
      <w:pPr>
        <w:spacing w:after="0"/>
      </w:pPr>
      <w:r>
        <w:rPr>
          <w:rFonts w:ascii="Arial" w:cs="Arial" w:eastAsia="Arial" w:hAnsi="Arial"/>
          <w:color w:val="333333"/>
          <w:sz w:val="22"/>
          <w:szCs w:val="22"/>
        </w:rPr>
        <w:t xml:space="preserve">Apex Project Management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left" w:pos="0"/>
      </w:tabs>
      <w:jc w:val="right"/>
    </w:pPr>
    <w:r>
      <w:rPr>
        <w:rFonts w:ascii="Arial" w:cs="Arial" w:eastAsia="Arial" w:hAnsi="Arial"/>
        <w:color w:val="888888"/>
        <w:sz w:val="16"/>
        <w:szCs w:val="16"/>
      </w:rPr>
      <w:t xml:space="preserve">Apex Project Management  |  Northgate Retail Centre        </w:t>
    </w: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2026-07-11T16:00:52.841Z</dcterms:created>
  <dcterms:modified xsi:type="dcterms:W3CDTF">2026-07-11T16:00:52.842Z</dcterms:modified>
</cp:coreProperties>
</file>

<file path=docProps/custom.xml><?xml version="1.0" encoding="utf-8"?>
<Properties xmlns="http://schemas.openxmlformats.org/officeDocument/2006/custom-properties" xmlns:vt="http://schemas.openxmlformats.org/officeDocument/2006/docPropsVTypes"/>
</file>