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60"/>
        <w:jc w:val="center"/>
        <w:rPr/>
      </w:pPr>
      <w:r>
        <w:rPr>
          <w:rFonts w:cs="Arial"/>
          <w:b/>
          <w:i w:val="false"/>
          <w:color w:val="8A6D34"/>
          <w:sz w:val="28"/>
        </w:rPr>
        <w:t>MINUTES OF MEETING</w:t>
      </w:r>
    </w:p>
    <w:tbl>
      <w:tblPr>
        <w:tblW w:w="9748" w:type="dxa"/>
        <w:jc w:val="start"/>
        <w:tblInd w:w="103" w:type="dxa"/>
        <w:tblLayout w:type="fixed"/>
        <w:tblCellMar>
          <w:top w:w="0" w:type="dxa"/>
          <w:start w:w="108" w:type="dxa"/>
          <w:bottom w:w="0" w:type="dxa"/>
          <w:end w:w="108" w:type="dxa"/>
        </w:tblCellMar>
        <w:tblLook w:val="04a0" w:noVBand="1" w:noHBand="0" w:lastColumn="0" w:firstColumn="1" w:lastRow="0" w:firstRow="1"/>
      </w:tblPr>
      <w:tblGrid>
        <w:gridCol w:w="2924"/>
        <w:gridCol w:w="6824"/>
      </w:tblGrid>
      <w:tr>
        <w:trPr/>
        <w:tc>
          <w:tcPr>
            <w:tcW w:w="2924"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Field</w:t>
            </w:r>
          </w:p>
        </w:tc>
        <w:tc>
          <w:tcPr>
            <w:tcW w:w="6824"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Content</w:t>
            </w:r>
          </w:p>
        </w:tc>
      </w:tr>
      <w:tr>
        <w:trPr/>
        <w:tc>
          <w:tcPr>
            <w:tcW w:w="29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Meeting Title</w:t>
            </w:r>
          </w:p>
        </w:tc>
        <w:tc>
          <w:tcPr>
            <w:tcW w:w="68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Project Team Meeting (PTM) #13</w:t>
            </w:r>
          </w:p>
        </w:tc>
      </w:tr>
      <w:tr>
        <w:trPr/>
        <w:tc>
          <w:tcPr>
            <w:tcW w:w="29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Project</w:t>
            </w:r>
          </w:p>
        </w:tc>
        <w:tc>
          <w:tcPr>
            <w:tcW w:w="68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Northgate Retail Centre (3-level retail + mixed-use, ~42,000 m²) — Month 9 of 22</w:t>
            </w:r>
          </w:p>
        </w:tc>
      </w:tr>
      <w:tr>
        <w:trPr/>
        <w:tc>
          <w:tcPr>
            <w:tcW w:w="29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Date</w:t>
            </w:r>
          </w:p>
        </w:tc>
        <w:tc>
          <w:tcPr>
            <w:tcW w:w="68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09 Jul 2026</w:t>
            </w:r>
          </w:p>
        </w:tc>
      </w:tr>
      <w:tr>
        <w:trPr/>
        <w:tc>
          <w:tcPr>
            <w:tcW w:w="29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Time</w:t>
            </w:r>
          </w:p>
        </w:tc>
        <w:tc>
          <w:tcPr>
            <w:tcW w:w="68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10:00 – 11:45 (1 hr 45 min)</w:t>
            </w:r>
          </w:p>
        </w:tc>
      </w:tr>
      <w:tr>
        <w:trPr/>
        <w:tc>
          <w:tcPr>
            <w:tcW w:w="29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Location</w:t>
            </w:r>
          </w:p>
        </w:tc>
        <w:tc>
          <w:tcPr>
            <w:tcW w:w="68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Site Project Office, Meeting Room 1 / MS Teams (hybrid)</w:t>
            </w:r>
          </w:p>
        </w:tc>
      </w:tr>
      <w:tr>
        <w:trPr/>
        <w:tc>
          <w:tcPr>
            <w:tcW w:w="29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MOM Reference</w:t>
            </w:r>
          </w:p>
        </w:tc>
        <w:tc>
          <w:tcPr>
            <w:tcW w:w="68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NRC/MOM/2026/013</w:t>
            </w:r>
          </w:p>
        </w:tc>
      </w:tr>
      <w:tr>
        <w:trPr/>
        <w:tc>
          <w:tcPr>
            <w:tcW w:w="29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Prepared by</w:t>
            </w:r>
          </w:p>
        </w:tc>
        <w:tc>
          <w:tcPr>
            <w:tcW w:w="68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Daniel Cross, Project Director, Apex Project Management</w:t>
            </w:r>
          </w:p>
        </w:tc>
      </w:tr>
      <w:tr>
        <w:trPr/>
        <w:tc>
          <w:tcPr>
            <w:tcW w:w="29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Distribution</w:t>
            </w:r>
          </w:p>
        </w:tc>
        <w:tc>
          <w:tcPr>
            <w:tcW w:w="68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All attendees + Meridian Land management copy</w:t>
            </w:r>
          </w:p>
        </w:tc>
      </w:tr>
    </w:tbl>
    <w:p>
      <w:pPr>
        <w:pStyle w:val="Normal"/>
        <w:spacing w:before="200" w:after="80"/>
        <w:rPr/>
      </w:pPr>
      <w:r>
        <w:rPr>
          <w:rFonts w:cs="Arial"/>
          <w:b/>
          <w:i w:val="false"/>
          <w:color w:val="8A6D34"/>
          <w:sz w:val="22"/>
        </w:rPr>
        <w:t>ATTENDEES</w:t>
      </w:r>
    </w:p>
    <w:tbl>
      <w:tblPr>
        <w:tblW w:w="9746" w:type="dxa"/>
        <w:jc w:val="start"/>
        <w:tblInd w:w="103" w:type="dxa"/>
        <w:tblLayout w:type="fixed"/>
        <w:tblCellMar>
          <w:top w:w="0" w:type="dxa"/>
          <w:start w:w="108" w:type="dxa"/>
          <w:bottom w:w="0" w:type="dxa"/>
          <w:end w:w="108" w:type="dxa"/>
        </w:tblCellMar>
        <w:tblLook w:val="04a0" w:noVBand="1" w:noHBand="0" w:lastColumn="0" w:firstColumn="1" w:lastRow="0" w:firstRow="1"/>
      </w:tblPr>
      <w:tblGrid>
        <w:gridCol w:w="583"/>
        <w:gridCol w:w="2144"/>
        <w:gridCol w:w="3315"/>
        <w:gridCol w:w="2534"/>
        <w:gridCol w:w="1170"/>
      </w:tblGrid>
      <w:tr>
        <w:trPr/>
        <w:tc>
          <w:tcPr>
            <w:tcW w:w="583"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S.N.</w:t>
            </w:r>
          </w:p>
        </w:tc>
        <w:tc>
          <w:tcPr>
            <w:tcW w:w="2144"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Name</w:t>
            </w:r>
          </w:p>
        </w:tc>
        <w:tc>
          <w:tcPr>
            <w:tcW w:w="3315"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Company / Role</w:t>
            </w:r>
          </w:p>
        </w:tc>
        <w:tc>
          <w:tcPr>
            <w:tcW w:w="2534"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Email</w:t>
            </w:r>
          </w:p>
        </w:tc>
        <w:tc>
          <w:tcPr>
            <w:tcW w:w="1170"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Attendance</w:t>
            </w:r>
          </w:p>
        </w:tc>
      </w:tr>
      <w:tr>
        <w:trPr/>
        <w:tc>
          <w:tcPr>
            <w:tcW w:w="583"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w:t>
            </w:r>
          </w:p>
        </w:tc>
        <w:tc>
          <w:tcPr>
            <w:tcW w:w="214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Daniel Cross</w:t>
            </w:r>
          </w:p>
        </w:tc>
        <w:tc>
          <w:tcPr>
            <w:tcW w:w="331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Apex Project Management, Project Director (Chair)</w:t>
            </w:r>
          </w:p>
        </w:tc>
        <w:tc>
          <w:tcPr>
            <w:tcW w:w="253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18"/>
              </w:rPr>
              <w:t>daniel.cross@apexpm.com</w:t>
            </w:r>
          </w:p>
        </w:tc>
        <w:tc>
          <w:tcPr>
            <w:tcW w:w="11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Present</w:t>
            </w:r>
          </w:p>
        </w:tc>
      </w:tr>
      <w:tr>
        <w:trPr/>
        <w:tc>
          <w:tcPr>
            <w:tcW w:w="583"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2</w:t>
            </w:r>
          </w:p>
        </w:tc>
        <w:tc>
          <w:tcPr>
            <w:tcW w:w="214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Maria Santos</w:t>
            </w:r>
          </w:p>
        </w:tc>
        <w:tc>
          <w:tcPr>
            <w:tcW w:w="331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Apex Project Management, Design Manager</w:t>
            </w:r>
          </w:p>
        </w:tc>
        <w:tc>
          <w:tcPr>
            <w:tcW w:w="253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18"/>
              </w:rPr>
              <w:t>maria.santos@apexpm.com</w:t>
            </w:r>
          </w:p>
        </w:tc>
        <w:tc>
          <w:tcPr>
            <w:tcW w:w="11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Present</w:t>
            </w:r>
          </w:p>
        </w:tc>
      </w:tr>
      <w:tr>
        <w:trPr/>
        <w:tc>
          <w:tcPr>
            <w:tcW w:w="583"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3</w:t>
            </w:r>
          </w:p>
        </w:tc>
        <w:tc>
          <w:tcPr>
            <w:tcW w:w="214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James Okafor</w:t>
            </w:r>
          </w:p>
        </w:tc>
        <w:tc>
          <w:tcPr>
            <w:tcW w:w="331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Apex Project Management, Construction Manager</w:t>
            </w:r>
          </w:p>
        </w:tc>
        <w:tc>
          <w:tcPr>
            <w:tcW w:w="253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18"/>
              </w:rPr>
              <w:t>james.okafor@apexpm.com</w:t>
            </w:r>
          </w:p>
        </w:tc>
        <w:tc>
          <w:tcPr>
            <w:tcW w:w="11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Present</w:t>
            </w:r>
          </w:p>
        </w:tc>
      </w:tr>
      <w:tr>
        <w:trPr/>
        <w:tc>
          <w:tcPr>
            <w:tcW w:w="583"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4</w:t>
            </w:r>
          </w:p>
        </w:tc>
        <w:tc>
          <w:tcPr>
            <w:tcW w:w="214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Priya Nair</w:t>
            </w:r>
          </w:p>
        </w:tc>
        <w:tc>
          <w:tcPr>
            <w:tcW w:w="331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Studio Arc, Lead Architect</w:t>
            </w:r>
          </w:p>
        </w:tc>
        <w:tc>
          <w:tcPr>
            <w:tcW w:w="253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18"/>
              </w:rPr>
              <w:t>priya.nair@studioarc.com</w:t>
            </w:r>
          </w:p>
        </w:tc>
        <w:tc>
          <w:tcPr>
            <w:tcW w:w="11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Present</w:t>
            </w:r>
          </w:p>
        </w:tc>
      </w:tr>
      <w:tr>
        <w:trPr/>
        <w:tc>
          <w:tcPr>
            <w:tcW w:w="583"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5</w:t>
            </w:r>
          </w:p>
        </w:tc>
        <w:tc>
          <w:tcPr>
            <w:tcW w:w="214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Tom Whitfield</w:t>
            </w:r>
          </w:p>
        </w:tc>
        <w:tc>
          <w:tcPr>
            <w:tcW w:w="331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FormWorks Engineering, Structural Lead</w:t>
            </w:r>
          </w:p>
        </w:tc>
        <w:tc>
          <w:tcPr>
            <w:tcW w:w="253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18"/>
              </w:rPr>
              <w:t>tom.whitfield@formworks-eng.com</w:t>
            </w:r>
          </w:p>
        </w:tc>
        <w:tc>
          <w:tcPr>
            <w:tcW w:w="11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Present</w:t>
            </w:r>
          </w:p>
        </w:tc>
      </w:tr>
      <w:tr>
        <w:trPr/>
        <w:tc>
          <w:tcPr>
            <w:tcW w:w="583"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6</w:t>
            </w:r>
          </w:p>
        </w:tc>
        <w:tc>
          <w:tcPr>
            <w:tcW w:w="214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Elena Duarte</w:t>
            </w:r>
          </w:p>
        </w:tc>
        <w:tc>
          <w:tcPr>
            <w:tcW w:w="331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Cornerstone Construction, Contracts Manager</w:t>
            </w:r>
          </w:p>
        </w:tc>
        <w:tc>
          <w:tcPr>
            <w:tcW w:w="253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18"/>
              </w:rPr>
              <w:t>elena.duarte@cornerstone-con.com</w:t>
            </w:r>
          </w:p>
        </w:tc>
        <w:tc>
          <w:tcPr>
            <w:tcW w:w="11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Present</w:t>
            </w:r>
          </w:p>
        </w:tc>
      </w:tr>
      <w:tr>
        <w:trPr/>
        <w:tc>
          <w:tcPr>
            <w:tcW w:w="583"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7</w:t>
            </w:r>
          </w:p>
        </w:tc>
        <w:tc>
          <w:tcPr>
            <w:tcW w:w="214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[CONFIRM: name]</w:t>
            </w:r>
          </w:p>
        </w:tc>
        <w:tc>
          <w:tcPr>
            <w:tcW w:w="331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Meridian Land, Development Manager</w:t>
            </w:r>
          </w:p>
        </w:tc>
        <w:tc>
          <w:tcPr>
            <w:tcW w:w="253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Present</w:t>
            </w:r>
          </w:p>
        </w:tc>
      </w:tr>
      <w:tr>
        <w:trPr/>
        <w:tc>
          <w:tcPr>
            <w:tcW w:w="583"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8</w:t>
            </w:r>
          </w:p>
        </w:tc>
        <w:tc>
          <w:tcPr>
            <w:tcW w:w="214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[CONFIRM: name]</w:t>
            </w:r>
          </w:p>
        </w:tc>
        <w:tc>
          <w:tcPr>
            <w:tcW w:w="331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Cost Bureau, Commercial Lead (QS)</w:t>
            </w:r>
          </w:p>
        </w:tc>
        <w:tc>
          <w:tcPr>
            <w:tcW w:w="253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
          </w:p>
        </w:tc>
        <w:tc>
          <w:tcPr>
            <w:tcW w:w="11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Present</w:t>
            </w:r>
          </w:p>
        </w:tc>
      </w:tr>
      <w:tr>
        <w:trPr/>
        <w:tc>
          <w:tcPr>
            <w:tcW w:w="583"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9</w:t>
            </w:r>
          </w:p>
        </w:tc>
        <w:tc>
          <w:tcPr>
            <w:tcW w:w="214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[CONFIRM: name]</w:t>
            </w:r>
          </w:p>
        </w:tc>
        <w:tc>
          <w:tcPr>
            <w:tcW w:w="331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Flow Systems, MEP Lead</w:t>
            </w:r>
          </w:p>
        </w:tc>
        <w:tc>
          <w:tcPr>
            <w:tcW w:w="253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color w:val="C0392B"/>
                <w:sz w:val="20"/>
              </w:rPr>
              <w:t>Apologies</w:t>
            </w:r>
          </w:p>
        </w:tc>
      </w:tr>
      <w:tr>
        <w:trPr/>
        <w:tc>
          <w:tcPr>
            <w:tcW w:w="9746" w:type="dxa"/>
            <w:gridSpan w:val="5"/>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rPr/>
            </w:pPr>
            <w:r>
              <w:rPr>
                <w:rFonts w:cs="Arial"/>
                <w:b/>
                <w:i w:val="false"/>
                <w:color w:val="8A6D34"/>
                <w:sz w:val="20"/>
              </w:rPr>
              <w:t>TO COPY</w:t>
            </w:r>
          </w:p>
        </w:tc>
      </w:tr>
      <w:tr>
        <w:trPr/>
        <w:tc>
          <w:tcPr>
            <w:tcW w:w="583"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w:t>
            </w:r>
          </w:p>
        </w:tc>
        <w:tc>
          <w:tcPr>
            <w:tcW w:w="214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[CONFIRM: name]</w:t>
            </w:r>
          </w:p>
        </w:tc>
        <w:tc>
          <w:tcPr>
            <w:tcW w:w="331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Meridian Land, Project Sponsor</w:t>
            </w:r>
          </w:p>
        </w:tc>
        <w:tc>
          <w:tcPr>
            <w:tcW w:w="253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r>
      <w:tr>
        <w:trPr/>
        <w:tc>
          <w:tcPr>
            <w:tcW w:w="583"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2</w:t>
            </w:r>
          </w:p>
        </w:tc>
        <w:tc>
          <w:tcPr>
            <w:tcW w:w="214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[CONFIRM: name]</w:t>
            </w:r>
          </w:p>
        </w:tc>
        <w:tc>
          <w:tcPr>
            <w:tcW w:w="331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Cornerstone Construction, Project Manager</w:t>
            </w:r>
          </w:p>
        </w:tc>
        <w:tc>
          <w:tcPr>
            <w:tcW w:w="253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
          </w:p>
        </w:tc>
        <w:tc>
          <w:tcPr>
            <w:tcW w:w="11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
          </w:p>
        </w:tc>
      </w:tr>
    </w:tbl>
    <w:p>
      <w:pPr>
        <w:pStyle w:val="Normal"/>
        <w:spacing w:before="200" w:after="80"/>
        <w:rPr/>
      </w:pPr>
      <w:r>
        <w:rPr>
          <w:rFonts w:cs="Arial"/>
          <w:b/>
          <w:i w:val="false"/>
          <w:color w:val="8A6D34"/>
          <w:sz w:val="22"/>
        </w:rPr>
        <w:t>PREVIOUS MOM ACTIONS REVIEW (PTM #12 – 25 Jun 2026)</w:t>
      </w:r>
    </w:p>
    <w:tbl>
      <w:tblPr>
        <w:tblW w:w="9746" w:type="dxa"/>
        <w:jc w:val="start"/>
        <w:tblInd w:w="103" w:type="dxa"/>
        <w:tblLayout w:type="fixed"/>
        <w:tblCellMar>
          <w:top w:w="0" w:type="dxa"/>
          <w:start w:w="108" w:type="dxa"/>
          <w:bottom w:w="0" w:type="dxa"/>
          <w:end w:w="108" w:type="dxa"/>
        </w:tblCellMar>
        <w:tblLook w:val="04a0" w:noVBand="1" w:noHBand="0" w:lastColumn="0" w:firstColumn="1" w:lastRow="0" w:firstRow="1"/>
      </w:tblPr>
      <w:tblGrid>
        <w:gridCol w:w="778"/>
        <w:gridCol w:w="4485"/>
        <w:gridCol w:w="1755"/>
        <w:gridCol w:w="1363"/>
        <w:gridCol w:w="1365"/>
      </w:tblGrid>
      <w:tr>
        <w:trPr/>
        <w:tc>
          <w:tcPr>
            <w:tcW w:w="778"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w:t>
            </w:r>
          </w:p>
        </w:tc>
        <w:tc>
          <w:tcPr>
            <w:tcW w:w="4485"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Action</w:t>
            </w:r>
          </w:p>
        </w:tc>
        <w:tc>
          <w:tcPr>
            <w:tcW w:w="1755"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Owner</w:t>
            </w:r>
          </w:p>
        </w:tc>
        <w:tc>
          <w:tcPr>
            <w:tcW w:w="1363"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Due Date</w:t>
            </w:r>
          </w:p>
        </w:tc>
        <w:tc>
          <w:tcPr>
            <w:tcW w:w="1365"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Status</w:t>
            </w:r>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12-01</w:t>
            </w:r>
          </w:p>
        </w:tc>
        <w:tc>
          <w:tcPr>
            <w:tcW w:w="448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FormWorks to issue IFC design for the Level 3 transfer slab.</w:t>
            </w:r>
          </w:p>
        </w:tc>
        <w:tc>
          <w:tcPr>
            <w:tcW w:w="175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Tom Whitfield</w:t>
            </w:r>
          </w:p>
        </w:tc>
        <w:tc>
          <w:tcPr>
            <w:tcW w:w="1363"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02 Jul 2026</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i w:val="false"/>
                <w:color w:val="F39C12"/>
                <w:sz w:val="20"/>
              </w:rPr>
              <w:t>Carried Forward</w:t>
            </w:r>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12-02</w:t>
            </w:r>
          </w:p>
        </w:tc>
        <w:tc>
          <w:tcPr>
            <w:tcW w:w="448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Cornerstone to submit substantiation back-up for the basement waterproofing variation.</w:t>
            </w:r>
          </w:p>
        </w:tc>
        <w:tc>
          <w:tcPr>
            <w:tcW w:w="175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Elena Duarte</w:t>
            </w:r>
          </w:p>
        </w:tc>
        <w:tc>
          <w:tcPr>
            <w:tcW w:w="1363"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03 Jul 2026</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i w:val="false"/>
                <w:color w:val="C0392B"/>
                <w:sz w:val="20"/>
              </w:rPr>
              <w:t>Open</w:t>
            </w:r>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12-03</w:t>
            </w:r>
          </w:p>
        </w:tc>
        <w:tc>
          <w:tcPr>
            <w:tcW w:w="448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Cost Bureau to circulate the levelled commercial comparison for the façade tenderers.</w:t>
            </w:r>
          </w:p>
        </w:tc>
        <w:tc>
          <w:tcPr>
            <w:tcW w:w="175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Cost Bureau</w:t>
            </w:r>
          </w:p>
        </w:tc>
        <w:tc>
          <w:tcPr>
            <w:tcW w:w="1363"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01 Jul 2026</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i w:val="false"/>
                <w:color w:val="C2A878"/>
                <w:sz w:val="20"/>
              </w:rPr>
              <w:t>Closed</w:t>
            </w:r>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12-04</w:t>
            </w:r>
          </w:p>
        </w:tc>
        <w:tc>
          <w:tcPr>
            <w:tcW w:w="448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Apex to close out the wet-weather delay assessment from the prior month.</w:t>
            </w:r>
          </w:p>
        </w:tc>
        <w:tc>
          <w:tcPr>
            <w:tcW w:w="175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James Okafor</w:t>
            </w:r>
          </w:p>
        </w:tc>
        <w:tc>
          <w:tcPr>
            <w:tcW w:w="1363"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07 Jul 2026</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i w:val="false"/>
                <w:color w:val="F39C12"/>
                <w:sz w:val="20"/>
              </w:rPr>
              <w:t>Carried Forward</w:t>
            </w:r>
          </w:p>
        </w:tc>
      </w:tr>
    </w:tbl>
    <w:p>
      <w:pPr>
        <w:pStyle w:val="Normal"/>
        <w:spacing w:before="200" w:after="80"/>
        <w:rPr/>
      </w:pPr>
      <w:r>
        <w:rPr>
          <w:rFonts w:cs="Arial"/>
          <w:b/>
          <w:i w:val="false"/>
          <w:color w:val="8A6D34"/>
          <w:sz w:val="22"/>
        </w:rPr>
        <w:t>DISCUSSION AND ACTIONS</w:t>
      </w:r>
    </w:p>
    <w:tbl>
      <w:tblPr>
        <w:tblW w:w="9746" w:type="dxa"/>
        <w:jc w:val="start"/>
        <w:tblInd w:w="103" w:type="dxa"/>
        <w:tblLayout w:type="fixed"/>
        <w:tblCellMar>
          <w:top w:w="0" w:type="dxa"/>
          <w:start w:w="108" w:type="dxa"/>
          <w:bottom w:w="0" w:type="dxa"/>
          <w:end w:w="108" w:type="dxa"/>
        </w:tblCellMar>
        <w:tblLook w:val="04a0" w:noVBand="1" w:noHBand="0" w:lastColumn="0" w:firstColumn="1" w:lastRow="0" w:firstRow="1"/>
      </w:tblPr>
      <w:tblGrid>
        <w:gridCol w:w="778"/>
        <w:gridCol w:w="5070"/>
        <w:gridCol w:w="1365"/>
        <w:gridCol w:w="1168"/>
        <w:gridCol w:w="1365"/>
      </w:tblGrid>
      <w:tr>
        <w:trPr/>
        <w:tc>
          <w:tcPr>
            <w:tcW w:w="778"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ITEM NO.</w:t>
            </w:r>
          </w:p>
        </w:tc>
        <w:tc>
          <w:tcPr>
            <w:tcW w:w="5070"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DESCRIPTION</w:t>
            </w:r>
          </w:p>
        </w:tc>
        <w:tc>
          <w:tcPr>
            <w:tcW w:w="1365"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ACTION BY</w:t>
            </w:r>
          </w:p>
        </w:tc>
        <w:tc>
          <w:tcPr>
            <w:tcW w:w="1168"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ACTION DUE</w:t>
            </w:r>
          </w:p>
        </w:tc>
        <w:tc>
          <w:tcPr>
            <w:tcW w:w="1365"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REMARKS</w:t>
            </w:r>
          </w:p>
        </w:tc>
      </w:tr>
      <w:tr>
        <w:trPr/>
        <w:tc>
          <w:tcPr>
            <w:tcW w:w="778" w:type="dxa"/>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jc w:val="center"/>
              <w:rPr/>
            </w:pPr>
            <w:r>
              <w:rPr>
                <w:rFonts w:cs="Arial"/>
                <w:b/>
                <w:i w:val="false"/>
                <w:color w:val="8A6D34"/>
                <w:sz w:val="20"/>
              </w:rPr>
              <w:t>1.0</w:t>
            </w:r>
          </w:p>
        </w:tc>
        <w:tc>
          <w:tcPr>
            <w:tcW w:w="8968" w:type="dxa"/>
            <w:gridSpan w:val="4"/>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rPr/>
            </w:pPr>
            <w:r>
              <w:rPr>
                <w:rFonts w:cs="Arial"/>
                <w:b/>
                <w:i w:val="false"/>
                <w:color w:val="8A6D34"/>
                <w:sz w:val="20"/>
              </w:rPr>
              <w:t>PROGRAMME STATUS &amp; PROGRESS SLIP</w:t>
            </w:r>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1.1</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Apex reported overall progress at 44% actual against 47% planned as at the Month 9 cut-off — a 3-point slip. Daniel Cross confirmed the slip is driven by two factors: (i) the Level 3 transfer-slab design delay (item 2.0) holding the superstructure sequence, and (ii) wet weather in the prior month affecting basement and groundworks output.</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For information</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1.2</w:t>
            </w:r>
          </w:p>
        </w:tc>
        <w:tc>
          <w:tcPr>
            <w:tcW w:w="50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James Okafor advised that a two-week recovery narrative is being prepared, targeting resequencing of fit-out enabling works to claw back schedule float independent of the transfer slab. James Okafor to issue the recovery narrative and revised look-ahead to the meeting.</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James Okafor</w:t>
            </w:r>
          </w:p>
        </w:tc>
        <w:tc>
          <w:tcPr>
            <w:tcW w:w="116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16 Jul 2026</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1.3</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Meridian Land requested that any consequential completion-date impact be quantified separately from the recovery measures. Apex noted the request; assessment to follow the transfer-slab IFC issue (item 2.2).</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Noted</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jc w:val="center"/>
              <w:rPr/>
            </w:pPr>
            <w:r>
              <w:rPr>
                <w:rFonts w:cs="Arial"/>
                <w:b/>
                <w:i w:val="false"/>
                <w:color w:val="8A6D34"/>
                <w:sz w:val="20"/>
              </w:rPr>
              <w:t>2.0</w:t>
            </w:r>
          </w:p>
        </w:tc>
        <w:tc>
          <w:tcPr>
            <w:tcW w:w="8968" w:type="dxa"/>
            <w:gridSpan w:val="4"/>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rPr/>
            </w:pPr>
            <w:r>
              <w:rPr>
                <w:rFonts w:cs="Arial"/>
                <w:b/>
                <w:i w:val="false"/>
                <w:color w:val="8A6D34"/>
                <w:sz w:val="20"/>
              </w:rPr>
              <w:t>STRUCTURAL DESIGN – LEVEL 3 TRANSFER SLAB (CRITICAL PATH)</w:t>
            </w:r>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2.1</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Tom Whitfield (FormWorks) confirmed the Level 3 transfer-slab design is running two weeks behind the design programme, following additional analysis of transfer-beam deflection and a coordination clash with the MEP riser layout. The meeting noted the slab pour now sits on the project critical path.</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For information</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2.2</w:t>
            </w:r>
          </w:p>
        </w:tc>
        <w:tc>
          <w:tcPr>
            <w:tcW w:w="50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FormWorks committed to issue the IFC (Issued for Construction) transfer-slab package — previously carried forward from PTM #12 (action 12-01). Tom Whitfield to issue IFC drawings and the reinforcement schedule.</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Tom Whitfield</w:t>
            </w:r>
          </w:p>
        </w:tc>
        <w:tc>
          <w:tcPr>
            <w:tcW w:w="116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16 Jul 2026</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2.3</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Priya Nair (Studio Arc) confirmed the architectural setting-out is unaffected and will not gate the IFC issue. Studio Arc to countersign the coordinated riser penetrations within 3 days of receiving the FormWorks package.</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Priya Nair</w:t>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21 Jul 2026</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2.4</w:t>
            </w:r>
          </w:p>
        </w:tc>
        <w:tc>
          <w:tcPr>
            <w:tcW w:w="50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Elena Duarte (Cornerstone) stated that, subject to receiving IFC by 16 Jul, Cornerstone can hold the pour slot in the week commencing 27 Jul and will confirm the resequenced pour date and any acceleration cost. Cornerstone reserved its position on an extension of time pending the design issue.</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Elena Duarte</w:t>
            </w:r>
          </w:p>
        </w:tc>
        <w:tc>
          <w:tcPr>
            <w:tcW w:w="116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23 Jul 2026</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2.5</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Apex recorded that the critical-path and any EOT entitlement will be assessed once IFC is received; Maria Santos to update the critical-path analysis and issue Apex's preliminary delay position.</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Maria Santos</w:t>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24 Jul 2026</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jc w:val="center"/>
              <w:rPr/>
            </w:pPr>
            <w:r>
              <w:rPr>
                <w:rFonts w:cs="Arial"/>
                <w:b/>
                <w:i w:val="false"/>
                <w:color w:val="8A6D34"/>
                <w:sz w:val="20"/>
              </w:rPr>
              <w:t>3.0</w:t>
            </w:r>
          </w:p>
        </w:tc>
        <w:tc>
          <w:tcPr>
            <w:tcW w:w="8968" w:type="dxa"/>
            <w:gridSpan w:val="4"/>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rPr/>
            </w:pPr>
            <w:r>
              <w:rPr>
                <w:rFonts w:cs="Arial"/>
                <w:b/>
                <w:i w:val="false"/>
                <w:color w:val="8A6D34"/>
                <w:sz w:val="20"/>
              </w:rPr>
              <w:t>FAÇADE PACKAGE PROCUREMENT</w:t>
            </w:r>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3.1</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Apex reported the façade subcontract package is in final evaluation across three tenderers: BuildRight Facades (lowest price, with noted scope gaps), Vertex Envelope (mid price, strongest technical submission), and Clad-Tech Systems (highest price, fastest programme). Cost Bureau confirmed the levelled comparison from PTM #12 (action 12-03) is complete.</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For information</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3.2</w:t>
            </w:r>
          </w:p>
        </w:tc>
        <w:tc>
          <w:tcPr>
            <w:tcW w:w="50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The meeting agreed that, on best-value grounds — technical compliance weighted against the scope-gap risk in the lowest bid — Vertex Envelope is the preferred tenderer, subject to a final commercial confirmation of the levelled position. Decision recorded.</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
          </w:p>
        </w:tc>
        <w:tc>
          <w:tcPr>
            <w:tcW w:w="116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Decision recorded</w:t>
                </w:r>
              </w:sdtContent>
            </w:sdt>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3.3</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Cost Bureau to finalise the levelled commercial comparison, confirming the add-back for BuildRight's scope gaps, so the price ranking is on a like-for-like basis.</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Cost Bureau</w:t>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17 Jul 2026</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3.4</w:t>
            </w:r>
          </w:p>
        </w:tc>
        <w:tc>
          <w:tcPr>
            <w:tcW w:w="50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Daniel Cross to issue the façade award recommendation to Meridian Land for approval, on receipt of the finalised levelling.</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Daniel Cross</w:t>
            </w:r>
          </w:p>
        </w:tc>
        <w:tc>
          <w:tcPr>
            <w:tcW w:w="116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21 Jul 2026</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jc w:val="center"/>
              <w:rPr/>
            </w:pPr>
            <w:r>
              <w:rPr>
                <w:rFonts w:cs="Arial"/>
                <w:b/>
                <w:i w:val="false"/>
                <w:color w:val="8A6D34"/>
                <w:sz w:val="20"/>
              </w:rPr>
              <w:t>4.0</w:t>
            </w:r>
          </w:p>
        </w:tc>
        <w:tc>
          <w:tcPr>
            <w:tcW w:w="8968" w:type="dxa"/>
            <w:gridSpan w:val="4"/>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rPr/>
            </w:pPr>
            <w:r>
              <w:rPr>
                <w:rFonts w:cs="Arial"/>
                <w:b/>
                <w:i w:val="false"/>
                <w:color w:val="8A6D34"/>
                <w:sz w:val="20"/>
              </w:rPr>
              <w:t>COMMERCIAL – BASEMENT WATERPROOFING VARIATION</w:t>
            </w:r>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4.1</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Cornerstone tabled variation request VR-024 for revised basement waterproofing, valued at approximately $180,000. Elena Duarte stated the revision responds to a design change in the tanking specification and that the full amount is a legitimate entitlement.</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For information</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4.2</w:t>
            </w:r>
          </w:p>
        </w:tc>
        <w:tc>
          <w:tcPr>
            <w:tcW w:w="50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Apex disputed approximately $70,000 of the claim, its position being that the disputed portion covers waterproofing to the lift pits and construction joints that is already included within Cornerstone's contract scope and priced in the original bill. Both positions are recorded; the difference remains unresolved.</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
          </w:p>
        </w:tc>
        <w:tc>
          <w:tcPr>
            <w:tcW w:w="116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Noted</w:t>
                </w:r>
              </w:sdtContent>
            </w:sdt>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4.3</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Cost Bureau to issue a formal assessment of VR-024, isolating the disputed ~$70,000 element against the contract scope and pricing document.</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Cost Bureau</w:t>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22 Jul 2026</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4.4</w:t>
            </w:r>
          </w:p>
        </w:tc>
        <w:tc>
          <w:tcPr>
            <w:tcW w:w="5070"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Cornerstone to provide the detailed measurement and pricing back-up for VR-024 — outstanding from PTM #12 (action 12-02) — to allow the assessment to conclude.</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Elena Duarte</w:t>
            </w:r>
          </w:p>
        </w:tc>
        <w:tc>
          <w:tcPr>
            <w:tcW w:w="1168"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18 Jul 2026</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Action required</w:t>
                </w:r>
              </w:sdtContent>
            </w:sdt>
          </w:p>
        </w:tc>
      </w:tr>
      <w:tr>
        <w:trPr/>
        <w:tc>
          <w:tcPr>
            <w:tcW w:w="778" w:type="dxa"/>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jc w:val="center"/>
              <w:rPr/>
            </w:pPr>
            <w:r>
              <w:rPr>
                <w:rFonts w:cs="Arial"/>
                <w:b/>
                <w:i w:val="false"/>
                <w:color w:val="8A6D34"/>
                <w:sz w:val="20"/>
              </w:rPr>
              <w:t>5.0</w:t>
            </w:r>
          </w:p>
        </w:tc>
        <w:tc>
          <w:tcPr>
            <w:tcW w:w="8968" w:type="dxa"/>
            <w:gridSpan w:val="4"/>
            <w:tcBorders>
              <w:top w:val="single" w:sz="4" w:space="0" w:color="BFBFBF"/>
              <w:start w:val="single" w:sz="4" w:space="0" w:color="BFBFBF"/>
              <w:bottom w:val="single" w:sz="4" w:space="0" w:color="BFBFBF"/>
              <w:end w:val="single" w:sz="4" w:space="0" w:color="BFBFBF"/>
            </w:tcBorders>
            <w:shd w:color="auto" w:fill="EFE6D3" w:val="clear"/>
            <w:vAlign w:val="center"/>
          </w:tcPr>
          <w:p>
            <w:pPr>
              <w:pStyle w:val="Normal"/>
              <w:spacing w:before="40" w:after="40"/>
              <w:rPr/>
            </w:pPr>
            <w:r>
              <w:rPr>
                <w:rFonts w:cs="Arial"/>
                <w:b/>
                <w:i w:val="false"/>
                <w:color w:val="8A6D34"/>
                <w:sz w:val="20"/>
              </w:rPr>
              <w:t>ANY OTHER BUSINESS &amp; NEXT MEETING</w:t>
            </w:r>
          </w:p>
        </w:tc>
      </w:tr>
      <w:tr>
        <w:trPr/>
        <w:tc>
          <w:tcPr>
            <w:tcW w:w="77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5.1</w:t>
            </w:r>
          </w:p>
        </w:tc>
        <w:tc>
          <w:tcPr>
            <w:tcW w:w="5070"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No other business was raised. The meeting confirmed PTM #14 will proceed as scheduled (see NEXT MEETING), with the transfer-slab IFC status and the façade award as standing lead items.</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
          </w:p>
        </w:tc>
        <w:tc>
          <w:tcPr>
            <w:tcW w:w="1168"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sdt>
              <w:sdtPr>
                <w:alias w:val="MOM Value"/>
                <w:dropDownList>
                  <w:listItem w:displayText="For information" w:value="For information"/>
                  <w:listItem w:displayText="Noted" w:value="Noted"/>
                  <w:listItem w:displayText="Action required" w:value="Action required"/>
                  <w:listItem w:displayText="Decision recorded" w:value="Decision recorded"/>
                  <w:listItem w:displayText="Carried forward" w:value="Carried forward"/>
                </w:dropDownList>
              </w:sdtPr>
              <w:sdtContent>
                <w:r>
                  <w:rPr>
                    <w:sz w:val="18"/>
                  </w:rPr>
                </w:r>
                <w:r>
                  <w:rPr>
                    <w:sz w:val="18"/>
                  </w:rPr>
                  <w:t>Noted</w:t>
                </w:r>
              </w:sdtContent>
            </w:sdt>
          </w:p>
        </w:tc>
      </w:tr>
    </w:tbl>
    <w:p>
      <w:pPr>
        <w:pStyle w:val="Normal"/>
        <w:spacing w:before="200" w:after="80"/>
        <w:rPr/>
      </w:pPr>
      <w:r>
        <w:rPr>
          <w:rFonts w:cs="Arial"/>
          <w:b/>
          <w:i w:val="false"/>
          <w:color w:val="8A6D34"/>
          <w:sz w:val="22"/>
        </w:rPr>
        <w:t>ACTIONS SUMMARY</w:t>
      </w:r>
    </w:p>
    <w:tbl>
      <w:tblPr>
        <w:tblW w:w="9746" w:type="dxa"/>
        <w:jc w:val="start"/>
        <w:tblInd w:w="103" w:type="dxa"/>
        <w:tblLayout w:type="fixed"/>
        <w:tblCellMar>
          <w:top w:w="0" w:type="dxa"/>
          <w:start w:w="108" w:type="dxa"/>
          <w:bottom w:w="0" w:type="dxa"/>
          <w:end w:w="108" w:type="dxa"/>
        </w:tblCellMar>
        <w:tblLook w:val="04a0" w:noVBand="1" w:noHBand="0" w:lastColumn="0" w:firstColumn="1" w:lastRow="0" w:firstRow="1"/>
      </w:tblPr>
      <w:tblGrid>
        <w:gridCol w:w="682"/>
        <w:gridCol w:w="5069"/>
        <w:gridCol w:w="1656"/>
        <w:gridCol w:w="1365"/>
        <w:gridCol w:w="974"/>
      </w:tblGrid>
      <w:tr>
        <w:trPr/>
        <w:tc>
          <w:tcPr>
            <w:tcW w:w="682"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w:t>
            </w:r>
          </w:p>
        </w:tc>
        <w:tc>
          <w:tcPr>
            <w:tcW w:w="5069"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Action</w:t>
            </w:r>
          </w:p>
        </w:tc>
        <w:tc>
          <w:tcPr>
            <w:tcW w:w="1656"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Owner</w:t>
            </w:r>
          </w:p>
        </w:tc>
        <w:tc>
          <w:tcPr>
            <w:tcW w:w="1365"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Due Date</w:t>
            </w:r>
          </w:p>
        </w:tc>
        <w:tc>
          <w:tcPr>
            <w:tcW w:w="974"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jc w:val="center"/>
              <w:rPr/>
            </w:pPr>
            <w:r>
              <w:rPr>
                <w:rFonts w:cs="Arial"/>
                <w:b/>
                <w:i w:val="false"/>
                <w:color w:val="FFFFFF"/>
                <w:sz w:val="20"/>
              </w:rPr>
              <w:t>Priority</w:t>
            </w:r>
          </w:p>
        </w:tc>
      </w:tr>
      <w:tr>
        <w:trPr/>
        <w:tc>
          <w:tcPr>
            <w:tcW w:w="682"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001</w:t>
            </w:r>
          </w:p>
        </w:tc>
        <w:tc>
          <w:tcPr>
            <w:tcW w:w="5069"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Issue two-week recovery narrative and revised look-ahead programme.</w:t>
            </w:r>
          </w:p>
        </w:tc>
        <w:tc>
          <w:tcPr>
            <w:tcW w:w="1656"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James Okafor</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16 Jul 2026</w:t>
            </w:r>
          </w:p>
        </w:tc>
        <w:tc>
          <w:tcPr>
            <w:tcW w:w="97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E67E22"/>
                    <w:sz w:val="18"/>
                  </w:rPr>
                </w:r>
                <w:r>
                  <w:rPr>
                    <w:b/>
                    <w:color w:val="E67E22"/>
                    <w:sz w:val="18"/>
                  </w:rPr>
                  <w:t>HIGH</w:t>
                </w:r>
              </w:sdtContent>
            </w:sdt>
          </w:p>
        </w:tc>
      </w:tr>
      <w:tr>
        <w:trPr/>
        <w:tc>
          <w:tcPr>
            <w:tcW w:w="682"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002</w:t>
            </w:r>
          </w:p>
        </w:tc>
        <w:tc>
          <w:tcPr>
            <w:tcW w:w="5069"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Issue IFC transfer-slab drawings and reinforcement schedule (critical path).</w:t>
            </w:r>
          </w:p>
        </w:tc>
        <w:tc>
          <w:tcPr>
            <w:tcW w:w="1656"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Tom Whitfield</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16 Jul 2026</w:t>
            </w:r>
          </w:p>
        </w:tc>
        <w:tc>
          <w:tcPr>
            <w:tcW w:w="97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C0392B"/>
                    <w:sz w:val="18"/>
                  </w:rPr>
                </w:r>
                <w:r>
                  <w:rPr>
                    <w:b/>
                    <w:color w:val="C0392B"/>
                    <w:sz w:val="18"/>
                  </w:rPr>
                  <w:t>CRITICAL</w:t>
                </w:r>
              </w:sdtContent>
            </w:sdt>
          </w:p>
        </w:tc>
      </w:tr>
      <w:tr>
        <w:trPr/>
        <w:tc>
          <w:tcPr>
            <w:tcW w:w="682"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003</w:t>
            </w:r>
          </w:p>
        </w:tc>
        <w:tc>
          <w:tcPr>
            <w:tcW w:w="5069"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Countersign coordinated riser penetrations within 3 days of FormWorks package.</w:t>
            </w:r>
          </w:p>
        </w:tc>
        <w:tc>
          <w:tcPr>
            <w:tcW w:w="1656"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Priya Nair</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21 Jul 2026</w:t>
            </w:r>
          </w:p>
        </w:tc>
        <w:tc>
          <w:tcPr>
            <w:tcW w:w="97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F39C12"/>
                    <w:sz w:val="18"/>
                  </w:rPr>
                </w:r>
                <w:r>
                  <w:rPr>
                    <w:b/>
                    <w:color w:val="F39C12"/>
                    <w:sz w:val="18"/>
                  </w:rPr>
                  <w:t>MEDIUM</w:t>
                </w:r>
              </w:sdtContent>
            </w:sdt>
          </w:p>
        </w:tc>
      </w:tr>
      <w:tr>
        <w:trPr/>
        <w:tc>
          <w:tcPr>
            <w:tcW w:w="682"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004</w:t>
            </w:r>
          </w:p>
        </w:tc>
        <w:tc>
          <w:tcPr>
            <w:tcW w:w="5069"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Confirm resequenced transfer-slab pour date and any acceleration cost.</w:t>
            </w:r>
          </w:p>
        </w:tc>
        <w:tc>
          <w:tcPr>
            <w:tcW w:w="1656"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Elena Duarte</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23 Jul 2026</w:t>
            </w:r>
          </w:p>
        </w:tc>
        <w:tc>
          <w:tcPr>
            <w:tcW w:w="97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E67E22"/>
                    <w:sz w:val="18"/>
                  </w:rPr>
                </w:r>
                <w:r>
                  <w:rPr>
                    <w:b/>
                    <w:color w:val="E67E22"/>
                    <w:sz w:val="18"/>
                  </w:rPr>
                  <w:t>HIGH</w:t>
                </w:r>
              </w:sdtContent>
            </w:sdt>
          </w:p>
        </w:tc>
      </w:tr>
      <w:tr>
        <w:trPr/>
        <w:tc>
          <w:tcPr>
            <w:tcW w:w="682"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005</w:t>
            </w:r>
          </w:p>
        </w:tc>
        <w:tc>
          <w:tcPr>
            <w:tcW w:w="5069"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Update critical-path analysis and issue Apex preliminary delay/EOT position.</w:t>
            </w:r>
          </w:p>
        </w:tc>
        <w:tc>
          <w:tcPr>
            <w:tcW w:w="1656"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Maria Santos</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24 Jul 2026</w:t>
            </w:r>
          </w:p>
        </w:tc>
        <w:tc>
          <w:tcPr>
            <w:tcW w:w="97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E67E22"/>
                    <w:sz w:val="18"/>
                  </w:rPr>
                </w:r>
                <w:r>
                  <w:rPr>
                    <w:b/>
                    <w:color w:val="E67E22"/>
                    <w:sz w:val="18"/>
                  </w:rPr>
                  <w:t>HIGH</w:t>
                </w:r>
              </w:sdtContent>
            </w:sdt>
          </w:p>
        </w:tc>
      </w:tr>
      <w:tr>
        <w:trPr/>
        <w:tc>
          <w:tcPr>
            <w:tcW w:w="682"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006</w:t>
            </w:r>
          </w:p>
        </w:tc>
        <w:tc>
          <w:tcPr>
            <w:tcW w:w="5069"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Finalise levelled façade commercial comparison with scope-gap add-back.</w:t>
            </w:r>
          </w:p>
        </w:tc>
        <w:tc>
          <w:tcPr>
            <w:tcW w:w="1656"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Cost Bureau</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17 Jul 2026</w:t>
            </w:r>
          </w:p>
        </w:tc>
        <w:tc>
          <w:tcPr>
            <w:tcW w:w="97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E67E22"/>
                    <w:sz w:val="18"/>
                  </w:rPr>
                </w:r>
                <w:r>
                  <w:rPr>
                    <w:b/>
                    <w:color w:val="E67E22"/>
                    <w:sz w:val="18"/>
                  </w:rPr>
                  <w:t>HIGH</w:t>
                </w:r>
              </w:sdtContent>
            </w:sdt>
          </w:p>
        </w:tc>
      </w:tr>
      <w:tr>
        <w:trPr/>
        <w:tc>
          <w:tcPr>
            <w:tcW w:w="682"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007</w:t>
            </w:r>
          </w:p>
        </w:tc>
        <w:tc>
          <w:tcPr>
            <w:tcW w:w="5069"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Issue façade award recommendation (Vertex Envelope) to Meridian Land.</w:t>
            </w:r>
          </w:p>
        </w:tc>
        <w:tc>
          <w:tcPr>
            <w:tcW w:w="1656"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Daniel Cross</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21 Jul 2026</w:t>
            </w:r>
          </w:p>
        </w:tc>
        <w:tc>
          <w:tcPr>
            <w:tcW w:w="97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E67E22"/>
                    <w:sz w:val="18"/>
                  </w:rPr>
                </w:r>
                <w:r>
                  <w:rPr>
                    <w:b/>
                    <w:color w:val="E67E22"/>
                    <w:sz w:val="18"/>
                  </w:rPr>
                  <w:t>HIGH</w:t>
                </w:r>
              </w:sdtContent>
            </w:sdt>
          </w:p>
        </w:tc>
      </w:tr>
      <w:tr>
        <w:trPr/>
        <w:tc>
          <w:tcPr>
            <w:tcW w:w="682"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008</w:t>
            </w:r>
          </w:p>
        </w:tc>
        <w:tc>
          <w:tcPr>
            <w:tcW w:w="5069"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Issue formal assessment of VR-024 isolating the disputed ~$70k element.</w:t>
            </w:r>
          </w:p>
        </w:tc>
        <w:tc>
          <w:tcPr>
            <w:tcW w:w="1656"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Cost Bureau</w:t>
            </w:r>
          </w:p>
        </w:tc>
        <w:tc>
          <w:tcPr>
            <w:tcW w:w="1365"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r>
              <w:rPr>
                <w:rFonts w:cs="Arial"/>
                <w:b w:val="false"/>
                <w:i w:val="false"/>
                <w:sz w:val="20"/>
              </w:rPr>
              <w:t>22 Jul 2026</w:t>
            </w:r>
          </w:p>
        </w:tc>
        <w:tc>
          <w:tcPr>
            <w:tcW w:w="97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E67E22"/>
                    <w:sz w:val="18"/>
                  </w:rPr>
                </w:r>
                <w:r>
                  <w:rPr>
                    <w:b/>
                    <w:color w:val="E67E22"/>
                    <w:sz w:val="18"/>
                  </w:rPr>
                  <w:t>HIGH</w:t>
                </w:r>
              </w:sdtContent>
            </w:sdt>
          </w:p>
        </w:tc>
      </w:tr>
      <w:tr>
        <w:trPr/>
        <w:tc>
          <w:tcPr>
            <w:tcW w:w="682"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009</w:t>
            </w:r>
          </w:p>
        </w:tc>
        <w:tc>
          <w:tcPr>
            <w:tcW w:w="5069"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Provide detailed measurement and pricing back-up for VR-024.</w:t>
            </w:r>
          </w:p>
        </w:tc>
        <w:tc>
          <w:tcPr>
            <w:tcW w:w="1656"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Elena Duarte</w:t>
            </w:r>
          </w:p>
        </w:tc>
        <w:tc>
          <w:tcPr>
            <w:tcW w:w="1365"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r>
              <w:rPr>
                <w:rFonts w:cs="Arial"/>
                <w:b w:val="false"/>
                <w:i w:val="false"/>
                <w:sz w:val="20"/>
              </w:rPr>
              <w:t>18 Jul 2026</w:t>
            </w:r>
          </w:p>
        </w:tc>
        <w:tc>
          <w:tcPr>
            <w:tcW w:w="97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jc w:val="center"/>
              <w:rPr/>
            </w:pPr>
            <w:sdt>
              <w:sdtPr>
                <w:alias w:val="MOM Value"/>
                <w:dropDownList>
                  <w:listItem w:displayText="CRITICAL" w:value="CRITICAL"/>
                  <w:listItem w:displayText="HIGH" w:value="HIGH"/>
                  <w:listItem w:displayText="MEDIUM" w:value="MEDIUM"/>
                  <w:listItem w:displayText="LOW" w:value="LOW"/>
                </w:dropDownList>
              </w:sdtPr>
              <w:sdtContent>
                <w:r>
                  <w:rPr>
                    <w:b/>
                    <w:color w:val="F39C12"/>
                    <w:sz w:val="18"/>
                  </w:rPr>
                </w:r>
                <w:r>
                  <w:rPr>
                    <w:b/>
                    <w:color w:val="F39C12"/>
                    <w:sz w:val="18"/>
                  </w:rPr>
                  <w:t>MEDIUM</w:t>
                </w:r>
              </w:sdtContent>
            </w:sdt>
          </w:p>
        </w:tc>
      </w:tr>
    </w:tbl>
    <w:p>
      <w:pPr>
        <w:pStyle w:val="Normal"/>
        <w:spacing w:before="200" w:after="80"/>
        <w:rPr/>
      </w:pPr>
      <w:r>
        <w:rPr>
          <w:rFonts w:cs="Arial"/>
          <w:b/>
          <w:i w:val="false"/>
          <w:color w:val="8A6D34"/>
          <w:sz w:val="22"/>
        </w:rPr>
        <w:t>NEXT MEETING</w:t>
      </w:r>
    </w:p>
    <w:tbl>
      <w:tblPr>
        <w:tblW w:w="9748" w:type="dxa"/>
        <w:jc w:val="start"/>
        <w:tblInd w:w="103" w:type="dxa"/>
        <w:tblLayout w:type="fixed"/>
        <w:tblCellMar>
          <w:top w:w="0" w:type="dxa"/>
          <w:start w:w="108" w:type="dxa"/>
          <w:bottom w:w="0" w:type="dxa"/>
          <w:end w:w="108" w:type="dxa"/>
        </w:tblCellMar>
        <w:tblLook w:val="04a0" w:noVBand="1" w:noHBand="0" w:lastColumn="0" w:firstColumn="1" w:lastRow="0" w:firstRow="1"/>
      </w:tblPr>
      <w:tblGrid>
        <w:gridCol w:w="2924"/>
        <w:gridCol w:w="6824"/>
      </w:tblGrid>
      <w:tr>
        <w:trPr/>
        <w:tc>
          <w:tcPr>
            <w:tcW w:w="2924"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Field</w:t>
            </w:r>
          </w:p>
        </w:tc>
        <w:tc>
          <w:tcPr>
            <w:tcW w:w="6824" w:type="dxa"/>
            <w:tcBorders>
              <w:top w:val="single" w:sz="4" w:space="0" w:color="BFBFBF"/>
              <w:start w:val="single" w:sz="4" w:space="0" w:color="BFBFBF"/>
              <w:bottom w:val="single" w:sz="4" w:space="0" w:color="BFBFBF"/>
              <w:end w:val="single" w:sz="4" w:space="0" w:color="BFBFBF"/>
            </w:tcBorders>
            <w:shd w:color="auto" w:fill="8A6D34" w:val="clear"/>
            <w:vAlign w:val="center"/>
          </w:tcPr>
          <w:p>
            <w:pPr>
              <w:pStyle w:val="Normal"/>
              <w:spacing w:before="40" w:after="40"/>
              <w:rPr/>
            </w:pPr>
            <w:r>
              <w:rPr>
                <w:rFonts w:cs="Arial"/>
                <w:b/>
                <w:i w:val="false"/>
                <w:color w:val="FFFFFF"/>
                <w:sz w:val="20"/>
              </w:rPr>
              <w:t>Content</w:t>
            </w:r>
          </w:p>
        </w:tc>
      </w:tr>
      <w:tr>
        <w:trPr/>
        <w:tc>
          <w:tcPr>
            <w:tcW w:w="29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Meeting</w:t>
            </w:r>
          </w:p>
        </w:tc>
        <w:tc>
          <w:tcPr>
            <w:tcW w:w="68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Project Team Meeting (PTM) #14</w:t>
            </w:r>
          </w:p>
        </w:tc>
      </w:tr>
      <w:tr>
        <w:trPr/>
        <w:tc>
          <w:tcPr>
            <w:tcW w:w="29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Date</w:t>
            </w:r>
          </w:p>
        </w:tc>
        <w:tc>
          <w:tcPr>
            <w:tcW w:w="68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15 Jul 2026</w:t>
            </w:r>
          </w:p>
        </w:tc>
      </w:tr>
      <w:tr>
        <w:trPr/>
        <w:tc>
          <w:tcPr>
            <w:tcW w:w="29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Time</w:t>
            </w:r>
          </w:p>
        </w:tc>
        <w:tc>
          <w:tcPr>
            <w:tcW w:w="68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10:00 – 11:30</w:t>
            </w:r>
          </w:p>
        </w:tc>
      </w:tr>
      <w:tr>
        <w:trPr/>
        <w:tc>
          <w:tcPr>
            <w:tcW w:w="29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i w:val="false"/>
                <w:sz w:val="20"/>
              </w:rPr>
              <w:t>Location</w:t>
            </w:r>
          </w:p>
        </w:tc>
        <w:tc>
          <w:tcPr>
            <w:tcW w:w="6824" w:type="dxa"/>
            <w:tcBorders>
              <w:top w:val="single" w:sz="4" w:space="0" w:color="BFBFBF"/>
              <w:start w:val="single" w:sz="4" w:space="0" w:color="BFBFBF"/>
              <w:bottom w:val="single" w:sz="4" w:space="0" w:color="BFBFBF"/>
              <w:end w:val="single" w:sz="4" w:space="0" w:color="BFBFBF"/>
            </w:tcBorders>
            <w:shd w:color="auto" w:fill="F4F8F4" w:val="clear"/>
            <w:vAlign w:val="center"/>
          </w:tcPr>
          <w:p>
            <w:pPr>
              <w:pStyle w:val="Normal"/>
              <w:spacing w:before="40" w:after="40"/>
              <w:rPr/>
            </w:pPr>
            <w:r>
              <w:rPr>
                <w:rFonts w:cs="Arial"/>
                <w:b w:val="false"/>
                <w:i w:val="false"/>
                <w:sz w:val="20"/>
              </w:rPr>
              <w:t>Site Project Office, Meeting Room 1 / MS Teams (hybrid)</w:t>
            </w:r>
          </w:p>
        </w:tc>
      </w:tr>
      <w:tr>
        <w:trPr/>
        <w:tc>
          <w:tcPr>
            <w:tcW w:w="29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i w:val="false"/>
                <w:sz w:val="20"/>
              </w:rPr>
              <w:t>Agenda items</w:t>
            </w:r>
          </w:p>
        </w:tc>
        <w:tc>
          <w:tcPr>
            <w:tcW w:w="6824" w:type="dxa"/>
            <w:tcBorders>
              <w:top w:val="single" w:sz="4" w:space="0" w:color="BFBFBF"/>
              <w:start w:val="single" w:sz="4" w:space="0" w:color="BFBFBF"/>
              <w:bottom w:val="single" w:sz="4" w:space="0" w:color="BFBFBF"/>
              <w:end w:val="single" w:sz="4" w:space="0" w:color="BFBFBF"/>
            </w:tcBorders>
            <w:vAlign w:val="center"/>
          </w:tcPr>
          <w:p>
            <w:pPr>
              <w:pStyle w:val="Normal"/>
              <w:spacing w:before="40" w:after="40"/>
              <w:rPr/>
            </w:pPr>
            <w:r>
              <w:rPr>
                <w:rFonts w:cs="Arial"/>
                <w:b w:val="false"/>
                <w:i w:val="false"/>
                <w:sz w:val="20"/>
              </w:rPr>
              <w:t>Transfer-slab IFC status &amp; recovery; façade award confirmation; VR-024 waterproofing assessment; progress vs recovery programme.</w:t>
            </w:r>
          </w:p>
        </w:tc>
      </w:tr>
    </w:tbl>
    <w:p>
      <w:pPr>
        <w:pStyle w:val="Normal"/>
        <w:spacing w:before="200" w:after="80"/>
        <w:rPr/>
      </w:pPr>
      <w:r>
        <w:rPr>
          <w:rFonts w:cs="Arial"/>
          <w:b/>
          <w:i w:val="false"/>
          <w:color w:val="8A6D34"/>
          <w:sz w:val="22"/>
        </w:rPr>
        <w:t>SIGN-OFF</w:t>
      </w:r>
    </w:p>
    <w:p>
      <w:pPr>
        <w:pStyle w:val="Normal"/>
        <w:spacing w:before="0" w:after="40"/>
        <w:rPr/>
      </w:pPr>
      <w:r>
        <w:rPr>
          <w:rFonts w:cs="Arial"/>
          <w:b/>
          <w:i w:val="false"/>
          <w:sz w:val="20"/>
        </w:rPr>
        <w:t>Prepared by: Daniel Cross | Project Director | Apex Project Management</w:t>
      </w:r>
    </w:p>
    <w:p>
      <w:pPr>
        <w:pStyle w:val="Normal"/>
        <w:spacing w:before="0" w:after="40"/>
        <w:rPr/>
      </w:pPr>
      <w:r>
        <w:rPr>
          <w:rFonts w:cs="Arial"/>
          <w:b w:val="false"/>
          <w:i w:val="false"/>
          <w:sz w:val="20"/>
        </w:rPr>
        <w:t>Date issued: 09 Jul 2026</w:t>
      </w:r>
    </w:p>
    <w:p>
      <w:pPr>
        <w:pStyle w:val="Normal"/>
        <w:spacing w:before="120" w:after="200"/>
        <w:rPr/>
      </w:pPr>
      <w:r>
        <w:rPr>
          <w:rFonts w:cs="Arial"/>
          <w:b w:val="false"/>
          <w:i/>
          <w:sz w:val="20"/>
        </w:rPr>
        <w:t>Please review and advise of any amendments within 3 working days of issue. Silence will be taken as acceptance of these minutes as a true and accurate record.</w:t>
      </w:r>
    </w:p>
    <w:p>
      <w:pPr>
        <w:pStyle w:val="Normal"/>
        <w:spacing w:before="160" w:after="200"/>
        <w:rPr/>
      </w:pPr>
      <w:r>
        <w:rPr>
          <w:rFonts w:cs="Arial"/>
          <w:b w:val="false"/>
          <w:i/>
          <w:color w:val="6B6B6B"/>
          <w:sz w:val="16"/>
        </w:rPr>
        <w:t>Note: [CONFIRM: …] tags mark attendee names to be verified before issue.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Arial">
    <w:charset w:val="01" w:characterSet="utf-8"/>
    <w:family w:val="roman"/>
    <w:pitch w:val="variable"/>
  </w:font>
  <w:font w:name="Calibri">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rFonts w:cs="Arial"/>
        <w:b w:val="false"/>
        <w:i w:val="false"/>
        <w:color w:val="6B6B6B"/>
        <w:sz w:val="16"/>
      </w:rPr>
      <w:t>APM-PROJ-CM-001_Minutes_of_Meeting_Rev_1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rFonts w:cs="Arial"/>
        <w:b w:val="false"/>
        <w:i w:val="false"/>
        <w:color w:val="6B6B6B"/>
        <w:sz w:val="16"/>
      </w:rPr>
      <w:t>APM-PROJ-CM-001_Minutes_of_Meeting_Rev_1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rFonts w:cs="Arial"/>
        <w:b/>
        <w:i w:val="false"/>
        <w:color w:val="8A6D34"/>
        <w:sz w:val="26"/>
      </w:rPr>
      <w:t>APEX PROJECT MANAGEMENT</w:t>
    </w:r>
  </w:p>
  <w:p>
    <w:pPr>
      <w:pStyle w:val="Normal"/>
      <w:pBdr>
        <w:bottom w:val="single" w:sz="6" w:space="1" w:color="8A6D34"/>
      </w:pBdr>
      <w:spacing w:before="0" w:after="200"/>
      <w:rPr/>
    </w:pPr>
    <w:r>
      <w:rPr>
        <w:rFonts w:cs="Arial"/>
        <w:b w:val="false"/>
        <w:i w:val="false"/>
        <w:color w:val="6B6B6B"/>
        <w:sz w:val="16"/>
      </w:rPr>
      <w:t>Project &amp; Construction Management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rFonts w:cs="Arial"/>
        <w:b/>
        <w:i w:val="false"/>
        <w:color w:val="8A6D34"/>
        <w:sz w:val="26"/>
      </w:rPr>
      <w:t>APEX PROJECT MANAGEMENT</w:t>
    </w:r>
  </w:p>
  <w:p>
    <w:pPr>
      <w:pStyle w:val="Normal"/>
      <w:pBdr>
        <w:bottom w:val="single" w:sz="6" w:space="1" w:color="8A6D34"/>
      </w:pBdr>
      <w:spacing w:before="0" w:after="200"/>
      <w:rPr/>
    </w:pPr>
    <w:r>
      <w:rPr>
        <w:rFonts w:cs="Arial"/>
        <w:b w:val="false"/>
        <w:i w:val="false"/>
        <w:color w:val="6B6B6B"/>
        <w:sz w:val="16"/>
      </w:rPr>
      <w:t>Project &amp; Construction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start"/>
    </w:pPr>
    <w:rPr>
      <w:rFonts w:ascii="Arial" w:hAnsi="Arial" w:cs="Arial" w:eastAsia="ＭＳ 明朝" w:eastAsiaTheme="minorEastAsia"/>
      <w:color w:val="auto"/>
      <w:kern w:val="0"/>
      <w:sz w:val="20"/>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c2a878" w:themeColor="accent3" w:themeShade="bf"/>
    </w:rPr>
    <w:tblPr>
      <w:tblStyleRowBandSize w:val="1"/>
      <w:tblStyleColBandSize w:val="1"/>
      <w:tblBorders>
        <w:top w:val="single" w:color="C2A878" w:themeColor="accent3" w:sz="8" w:space="0"/>
        <w:bottom w:val="single" w:color="C2A878"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2A878" w:themeColor="accent3" w:sz="8" w:space="0"/>
          <w:left w:val="nil"/>
          <w:bottom w:val="single" w:color="C2A878" w:themeColor="accent3" w:sz="8" w:space="0"/>
          <w:right w:val="nil"/>
          <w:insideH w:val="nil"/>
          <w:insideV w:val="nil"/>
        </w:tcBorders>
      </w:tcPr>
    </w:tblStylePr>
    <w:tblStylePr w:type="lastRow">
      <w:pPr>
        <w:spacing w:before="0" w:after="0" w:line="240" w:lineRule="auto"/>
      </w:pPr>
      <w:rPr>
        <w:b/>
        <w:bCs/>
      </w:rPr>
      <w:tblPr/>
      <w:tcPr>
        <w:tcBorders>
          <w:top w:val="single" w:color="C2A878" w:themeColor="accent3" w:sz="8" w:space="0"/>
          <w:left w:val="nil"/>
          <w:bottom w:val="single" w:color="C2A878"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c2a878"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E6D3" w:themeFill="accent5" w:themeFillTint="3f"/>
      </w:tcPr>
    </w:tblStylePr>
    <w:tblStylePr w:type="band1Horz">
      <w:tblPr/>
      <w:tcPr>
        <w:tcBorders>
          <w:left w:val="nil"/>
          <w:right w:val="nil"/>
          <w:insideH w:val="nil"/>
          <w:insideV w:val="nil"/>
        </w:tcBorders>
        <w:shd w:val="clear" w:color="auto" w:fill="EFE6D3"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C2A878" w:themeColor="accent3" w:sz="8" w:space="0"/>
        <w:left w:val="single" w:color="C2A878" w:themeColor="accent3" w:sz="8" w:space="0"/>
        <w:bottom w:val="single" w:color="C2A878" w:themeColor="accent3" w:sz="8" w:space="0"/>
        <w:right w:val="single" w:color="C2A878"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2A878" w:themeFill="accent3"/>
      </w:tcPr>
    </w:tblStylePr>
    <w:tblStylePr w:type="lastRow">
      <w:pPr>
        <w:spacing w:before="0" w:after="0" w:line="240" w:lineRule="auto"/>
      </w:pPr>
      <w:rPr>
        <w:b/>
        <w:bCs/>
      </w:rPr>
      <w:tblPr/>
      <w:tcPr>
        <w:tcBorders>
          <w:top w:val="double" w:color="C2A878" w:themeColor="accent3" w:sz="6" w:space="0"/>
          <w:left w:val="single" w:color="C2A878" w:themeColor="accent3" w:sz="8" w:space="0"/>
          <w:bottom w:val="single" w:color="C2A878" w:themeColor="accent3" w:sz="8" w:space="0"/>
          <w:right w:val="single" w:color="C2A878" w:themeColor="accent3" w:sz="8" w:space="0"/>
        </w:tcBorders>
      </w:tcPr>
    </w:tblStylePr>
    <w:tblStylePr w:type="firstCol">
      <w:rPr>
        <w:b/>
        <w:bCs/>
      </w:rPr>
      <w:tblPr/>
    </w:tblStylePr>
    <w:tblStylePr w:type="lastCol">
      <w:rPr>
        <w:b/>
        <w:bCs/>
      </w:rPr>
      <w:tblPr/>
    </w:tblStylePr>
    <w:tblStylePr w:type="band1Vert">
      <w:tblPr/>
      <w:tcPr>
        <w:tcBorders>
          <w:top w:val="single" w:color="C2A878" w:themeColor="accent3" w:sz="8" w:space="0"/>
          <w:left w:val="single" w:color="C2A878" w:themeColor="accent3" w:sz="8" w:space="0"/>
          <w:bottom w:val="single" w:color="C2A878" w:themeColor="accent3" w:sz="8" w:space="0"/>
          <w:right w:val="single" w:color="C2A878" w:themeColor="accent3" w:sz="8" w:space="0"/>
        </w:tcBorders>
      </w:tcPr>
    </w:tblStylePr>
    <w:tblStylePr w:type="band1Horz">
      <w:tblPr/>
      <w:tcPr>
        <w:tcBorders>
          <w:top w:val="single" w:color="C2A878" w:themeColor="accent3" w:sz="8" w:space="0"/>
          <w:left w:val="single" w:color="C2A878" w:themeColor="accent3" w:sz="8" w:space="0"/>
          <w:bottom w:val="single" w:color="C2A878" w:themeColor="accent3" w:sz="8" w:space="0"/>
          <w:right w:val="single" w:color="C2A878"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C2A878" w:themeColor="accent3" w:sz="8" w:space="0"/>
        <w:left w:val="single" w:color="C2A878" w:themeColor="accent3" w:sz="8" w:space="0"/>
        <w:bottom w:val="single" w:color="C2A878" w:themeColor="accent3" w:sz="8" w:space="0"/>
        <w:right w:val="single" w:color="C2A878" w:themeColor="accent3" w:sz="8" w:space="0"/>
        <w:insideH w:val="single" w:color="C2A878" w:themeColor="accent3" w:sz="8" w:space="0"/>
        <w:insideV w:val="single" w:color="C2A878"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2A878" w:themeColor="accent3" w:sz="8" w:space="0"/>
          <w:left w:val="single" w:color="C2A878" w:themeColor="accent3" w:sz="8" w:space="0"/>
          <w:bottom w:val="single" w:color="C2A878" w:themeColor="accent3" w:sz="18" w:space="0"/>
          <w:right w:val="single" w:color="C2A878" w:themeColor="accent3" w:sz="8" w:space="0"/>
          <w:insideH w:val="nil"/>
          <w:insideV w:val="single" w:color="C2A878"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2A878" w:themeColor="accent3" w:sz="6" w:space="0"/>
          <w:left w:val="single" w:color="C2A878" w:themeColor="accent3" w:sz="8" w:space="0"/>
          <w:bottom w:val="single" w:color="C2A878" w:themeColor="accent3" w:sz="8" w:space="0"/>
          <w:right w:val="single" w:color="C2A878" w:themeColor="accent3" w:sz="8" w:space="0"/>
          <w:insideH w:val="nil"/>
          <w:insideV w:val="single" w:color="C2A878"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2A878" w:themeColor="accent3" w:sz="8" w:space="0"/>
          <w:left w:val="single" w:color="C2A878" w:themeColor="accent3" w:sz="8" w:space="0"/>
          <w:bottom w:val="single" w:color="C2A878" w:themeColor="accent3" w:sz="8" w:space="0"/>
          <w:right w:val="single" w:color="C2A878" w:themeColor="accent3" w:sz="8" w:space="0"/>
        </w:tcBorders>
      </w:tcPr>
    </w:tblStylePr>
    <w:tblStylePr w:type="band1Vert">
      <w:tblPr/>
      <w:tcPr>
        <w:tcBorders>
          <w:top w:val="single" w:color="C2A878" w:themeColor="accent3" w:sz="8" w:space="0"/>
          <w:left w:val="single" w:color="C2A878" w:themeColor="accent3" w:sz="8" w:space="0"/>
          <w:bottom w:val="single" w:color="C2A878" w:themeColor="accent3" w:sz="8" w:space="0"/>
          <w:right w:val="single" w:color="C2A878" w:themeColor="accent3" w:sz="8" w:space="0"/>
        </w:tcBorders>
        <w:shd w:val="clear" w:color="auto" w:fill="E6EED5" w:themeFill="accent3" w:themeFillTint="3f"/>
      </w:tcPr>
    </w:tblStylePr>
    <w:tblStylePr w:type="band1Horz">
      <w:tblPr/>
      <w:tcPr>
        <w:tcBorders>
          <w:top w:val="single" w:color="C2A878" w:themeColor="accent3" w:sz="8" w:space="0"/>
          <w:left w:val="single" w:color="C2A878" w:themeColor="accent3" w:sz="8" w:space="0"/>
          <w:bottom w:val="single" w:color="C2A878" w:themeColor="accent3" w:sz="8" w:space="0"/>
          <w:right w:val="single" w:color="C2A878" w:themeColor="accent3" w:sz="8" w:space="0"/>
          <w:insideV w:val="single" w:color="C2A878" w:themeColor="accent3" w:sz="8" w:space="0"/>
        </w:tcBorders>
        <w:shd w:val="clear" w:color="auto" w:fill="E6EED5" w:themeFill="accent3" w:themeFillTint="3f"/>
      </w:tcPr>
    </w:tblStylePr>
    <w:tblStylePr w:type="band2Horz">
      <w:tblPr/>
      <w:tcPr>
        <w:tcBorders>
          <w:top w:val="single" w:color="C2A878" w:themeColor="accent3" w:sz="8" w:space="0"/>
          <w:left w:val="single" w:color="C2A878" w:themeColor="accent3" w:sz="8" w:space="0"/>
          <w:bottom w:val="single" w:color="C2A878" w:themeColor="accent3" w:sz="8" w:space="0"/>
          <w:right w:val="single" w:color="C2A878" w:themeColor="accent3" w:sz="8" w:space="0"/>
          <w:insideV w:val="single" w:color="C2A878"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EFE6D3"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EFE6D3"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EFE6D3" w:themeColor="accent3" w:themeTint="bf" w:sz="8" w:space="0"/>
        <w:left w:val="single" w:color="EFE6D3" w:themeColor="accent3" w:themeTint="bf" w:sz="8" w:space="0"/>
        <w:bottom w:val="single" w:color="EFE6D3" w:themeColor="accent3" w:themeTint="bf" w:sz="8" w:space="0"/>
        <w:right w:val="single" w:color="EFE6D3" w:themeColor="accent3" w:themeTint="bf" w:sz="8" w:space="0"/>
        <w:insideH w:val="single" w:color="EFE6D3"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EFE6D3" w:themeColor="accent3" w:sz="8" w:space="0"/>
          <w:left w:val="single" w:color="EFE6D3" w:themeColor="accent3" w:sz="8" w:space="0"/>
          <w:bottom w:val="single" w:color="EFE6D3" w:themeColor="accent3" w:sz="8" w:space="0"/>
          <w:right w:val="single" w:color="EFE6D3" w:themeColor="accent3" w:sz="8" w:space="0"/>
          <w:insideH w:val="nil"/>
          <w:insideV w:val="nil"/>
        </w:tcBorders>
        <w:shd w:val="clear" w:color="auto" w:fill="C2A878" w:themeFill="accent3"/>
      </w:tcPr>
    </w:tblStylePr>
    <w:tblStylePr w:type="lastRow">
      <w:pPr>
        <w:spacing w:before="0" w:after="0" w:line="240" w:lineRule="auto"/>
      </w:pPr>
      <w:rPr>
        <w:b/>
        <w:bCs/>
      </w:rPr>
      <w:tblPr/>
      <w:tcPr>
        <w:tcBorders>
          <w:top w:val="double" w:color="EFE6D3" w:themeColor="accent3" w:sz="6" w:space="0"/>
          <w:left w:val="single" w:color="EFE6D3" w:themeColor="accent3" w:sz="8" w:space="0"/>
          <w:bottom w:val="single" w:color="EFE6D3" w:themeColor="accent3" w:sz="8" w:space="0"/>
          <w:right w:val="single" w:color="EFE6D3"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C2A878" w:themeColor="accent5" w:themeTint="bf" w:sz="8" w:space="0"/>
        <w:left w:val="single" w:color="C2A878" w:themeColor="accent5" w:themeTint="bf" w:sz="8" w:space="0"/>
        <w:bottom w:val="single" w:color="C2A878" w:themeColor="accent5" w:themeTint="bf" w:sz="8" w:space="0"/>
        <w:right w:val="single" w:color="C2A878" w:themeColor="accent5" w:themeTint="bf" w:sz="8" w:space="0"/>
        <w:insideH w:val="single" w:color="C2A878"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2A878" w:themeColor="accent5" w:sz="8" w:space="0"/>
          <w:left w:val="single" w:color="C2A878" w:themeColor="accent5" w:sz="8" w:space="0"/>
          <w:bottom w:val="single" w:color="C2A878" w:themeColor="accent5" w:sz="8" w:space="0"/>
          <w:right w:val="single" w:color="C2A878"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C2A878" w:themeColor="accent5" w:sz="6" w:space="0"/>
          <w:left w:val="single" w:color="C2A878" w:themeColor="accent5" w:sz="8" w:space="0"/>
          <w:bottom w:val="single" w:color="C2A878" w:themeColor="accent5" w:sz="8" w:space="0"/>
          <w:right w:val="single" w:color="C2A878"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EFE6D3" w:themeFill="accent5" w:themeFillTint="3f"/>
      </w:tcPr>
    </w:tblStylePr>
    <w:tblStylePr w:type="band1Horz">
      <w:tblPr/>
      <w:tcPr>
        <w:tcBorders>
          <w:insideH w:val="nil"/>
          <w:insideV w:val="nil"/>
        </w:tcBorders>
        <w:shd w:val="clear" w:color="auto" w:fill="EFE6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2A878"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2A878" w:themeFill="accent3"/>
      </w:tcPr>
    </w:tblStylePr>
    <w:tblStylePr w:type="lastCol">
      <w:rPr>
        <w:b/>
        <w:bCs/>
        <w:color w:val="ffffff" w:themeColor="background1"/>
      </w:rPr>
      <w:tblPr/>
      <w:tcPr>
        <w:tcBorders>
          <w:left w:val="nil"/>
          <w:right w:val="nil"/>
          <w:insideH w:val="nil"/>
          <w:insideV w:val="nil"/>
        </w:tcBorders>
        <w:shd w:val="clear" w:color="auto" w:fill="C2A8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C2A878" w:themeColor="accent3" w:sz="8" w:space="0"/>
        <w:bottom w:val="single" w:color="C2A878"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2A878" w:themeColor="accent3" w:sz="8" w:space="0"/>
        </w:tcBorders>
      </w:tcPr>
    </w:tblStylePr>
    <w:tblStylePr w:type="lastRow">
      <w:rPr>
        <w:b/>
        <w:bCs/>
        <w:color w:val="1f497d" w:themeColor="text2"/>
      </w:rPr>
      <w:tblPr/>
      <w:tcPr>
        <w:tcBorders>
          <w:top w:val="single" w:color="C2A878" w:themeColor="accent3" w:sz="8" w:space="0"/>
          <w:bottom w:val="single" w:color="C2A878" w:themeColor="accent3" w:sz="8" w:space="0"/>
        </w:tcBorders>
      </w:tcPr>
    </w:tblStylePr>
    <w:tblStylePr w:type="firstCol">
      <w:rPr>
        <w:b/>
        <w:bCs/>
      </w:rPr>
      <w:tblPr/>
    </w:tblStylePr>
    <w:tblStylePr w:type="lastCol">
      <w:rPr>
        <w:b/>
        <w:bCs/>
      </w:rPr>
      <w:tblPr/>
      <w:tcPr>
        <w:tcBorders>
          <w:top w:val="single" w:color="C2A878" w:themeColor="accent3" w:sz="8" w:space="0"/>
          <w:bottom w:val="single" w:color="C2A878"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EFE6D3" w:themeFill="accent5" w:themeFillTint="3f"/>
      </w:tcPr>
    </w:tblStylePr>
    <w:tblStylePr w:type="band1Horz">
      <w:tblPr/>
      <w:tcPr>
        <w:shd w:val="clear" w:color="auto" w:fill="EFE6D3"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2A878" w:themeColor="accent3" w:sz="8" w:space="0"/>
        <w:left w:val="single" w:color="C2A878" w:themeColor="accent3" w:sz="8" w:space="0"/>
        <w:bottom w:val="single" w:color="C2A878" w:themeColor="accent3" w:sz="8" w:space="0"/>
        <w:right w:val="single" w:color="C2A878"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C2A878" w:themeColor="accent3" w:sz="24" w:space="0"/>
          <w:right w:val="nil"/>
          <w:insideH w:val="nil"/>
          <w:insideV w:val="nil"/>
        </w:tcBorders>
        <w:shd w:val="clear" w:color="auto" w:fill="FFFFFF" w:themeFill="background1"/>
      </w:tcPr>
    </w:tblStylePr>
    <w:tblStylePr w:type="lastRow">
      <w:tblPr/>
      <w:tcPr>
        <w:tcBorders>
          <w:top w:val="single" w:color="C2A878"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2A878" w:themeColor="accent3" w:sz="8" w:space="0"/>
          <w:insideH w:val="nil"/>
          <w:insideV w:val="nil"/>
        </w:tcBorders>
        <w:shd w:val="clear" w:color="auto" w:fill="FFFFFF" w:themeFill="background1"/>
      </w:tcPr>
    </w:tblStylePr>
    <w:tblStylePr w:type="lastCol">
      <w:tblPr/>
      <w:tcPr>
        <w:tcBorders>
          <w:top w:val="nil"/>
          <w:left w:val="single" w:color="C2A878"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6D3" w:themeFill="accent5" w:themeFillTint="3f"/>
      </w:tcPr>
    </w:tblStylePr>
    <w:tblStylePr w:type="band1Horz">
      <w:tblPr/>
      <w:tcPr>
        <w:tcBorders>
          <w:top w:val="nil"/>
          <w:bottom w:val="nil"/>
          <w:insideH w:val="nil"/>
          <w:insideV w:val="nil"/>
        </w:tcBorders>
        <w:shd w:val="clear" w:color="auto" w:fill="EFE6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EFE6D3" w:themeColor="accent3" w:themeTint="bf" w:sz="8" w:space="0"/>
        <w:left w:val="single" w:color="EFE6D3" w:themeColor="accent3" w:themeTint="bf" w:sz="8" w:space="0"/>
        <w:bottom w:val="single" w:color="EFE6D3" w:themeColor="accent3" w:themeTint="bf" w:sz="8" w:space="0"/>
        <w:right w:val="single" w:color="EFE6D3" w:themeColor="accent3" w:themeTint="bf" w:sz="8" w:space="0"/>
        <w:insideH w:val="single" w:color="EFE6D3" w:themeColor="accent3" w:themeTint="bf" w:sz="8" w:space="0"/>
        <w:insideV w:val="single" w:color="EFE6D3"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EFE6D3" w:themeColor="accent3" w:sz="18" w:space="0"/>
        </w:tcBorders>
      </w:tcPr>
    </w:tblStylePr>
    <w:tblStylePr w:type="firstCol">
      <w:rPr>
        <w:b/>
        <w:bCs/>
      </w:rPr>
      <w:tblPr/>
    </w:tblStylePr>
    <w:tblStylePr w:type="lastCol">
      <w:rPr>
        <w:b/>
        <w:bCs/>
      </w:rPr>
      <w:tblPr/>
    </w:tblStylePr>
    <w:tblStylePr w:type="band1Vert">
      <w:tblPr/>
      <w:tcPr>
        <w:shd w:val="clear" w:color="auto" w:fill="EFE6D3" w:themeFill="accent3" w:themeFillTint="7f"/>
      </w:tcPr>
    </w:tblStylePr>
    <w:tblStylePr w:type="band1Horz">
      <w:tblPr/>
      <w:tcPr>
        <w:shd w:val="clear" w:color="auto" w:fill="EFE6D3"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C2A878" w:themeColor="accent5" w:themeTint="bf" w:sz="8" w:space="0"/>
        <w:left w:val="single" w:color="C2A878" w:themeColor="accent5" w:themeTint="bf" w:sz="8" w:space="0"/>
        <w:bottom w:val="single" w:color="C2A878" w:themeColor="accent5" w:themeTint="bf" w:sz="8" w:space="0"/>
        <w:right w:val="single" w:color="C2A878" w:themeColor="accent5" w:themeTint="bf" w:sz="8" w:space="0"/>
        <w:insideH w:val="single" w:color="C2A878" w:themeColor="accent5" w:themeTint="bf" w:sz="8" w:space="0"/>
        <w:insideV w:val="single" w:color="C2A878" w:themeColor="accent5" w:themeTint="bf" w:sz="8" w:space="0"/>
      </w:tblBorders>
      <w:tblCellMar>
        <w:top w:w="0" w:type="dxa"/>
        <w:left w:w="108" w:type="dxa"/>
        <w:bottom w:w="0" w:type="dxa"/>
        <w:right w:w="108" w:type="dxa"/>
      </w:tblCellMar>
    </w:tblPr>
    <w:tcPr>
      <w:shd w:val="clear" w:color="auto" w:fill="EFE6D3" w:themeFill="accent5" w:themeFillTint="3f"/>
    </w:tcPr>
    <w:tblStylePr w:type="firstRow">
      <w:rPr>
        <w:b/>
        <w:bCs/>
      </w:rPr>
      <w:tblPr/>
    </w:tblStylePr>
    <w:tblStylePr w:type="lastRow">
      <w:rPr>
        <w:b/>
        <w:bCs/>
      </w:rPr>
      <w:tblPr/>
      <w:tcPr>
        <w:tcBorders>
          <w:top w:val="single" w:color="C2A878" w:themeColor="accent5" w:sz="18" w:space="0"/>
        </w:tcBorders>
      </w:tcPr>
    </w:tblStylePr>
    <w:tblStylePr w:type="firstCol">
      <w:rPr>
        <w:b/>
        <w:bCs/>
      </w:rPr>
      <w:tblPr/>
    </w:tblStylePr>
    <w:tblStylePr w:type="lastCol">
      <w:rPr>
        <w:b/>
        <w:bCs/>
      </w:rPr>
      <w:tblPr/>
    </w:tblStylePr>
    <w:tblStylePr w:type="band1Vert">
      <w:tblPr/>
      <w:tcPr>
        <w:shd w:val="clear" w:color="auto" w:fill="EFE6D3" w:themeFill="accent5" w:themeFillTint="7f"/>
      </w:tcPr>
    </w:tblStylePr>
    <w:tblStylePr w:type="band1Horz">
      <w:tblPr/>
      <w:tcPr>
        <w:shd w:val="clear" w:color="auto" w:fill="EFE6D3"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2A878" w:themeColor="accent3" w:sz="8" w:space="0"/>
        <w:left w:val="single" w:color="C2A878" w:themeColor="accent3" w:sz="8" w:space="0"/>
        <w:bottom w:val="single" w:color="C2A878" w:themeColor="accent3" w:sz="8" w:space="0"/>
        <w:right w:val="single" w:color="C2A878" w:themeColor="accent3" w:sz="8" w:space="0"/>
        <w:insideH w:val="single" w:color="C2A878" w:themeColor="accent3" w:sz="8" w:space="0"/>
        <w:insideV w:val="single" w:color="C2A878"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EFE6D3" w:themeFill="accent3" w:themeFillTint="7f"/>
      </w:tcPr>
    </w:tblStylePr>
    <w:tblStylePr w:type="band1Horz">
      <w:tblPr/>
      <w:tcPr>
        <w:tcBorders>
          <w:insideH w:val="single" w:color="C2A878" w:themeColor="accent3" w:sz="6" w:space="0"/>
          <w:insideV w:val="single" w:color="C2A878" w:themeColor="accent3" w:sz="6" w:space="0"/>
        </w:tcBorders>
        <w:shd w:val="clear" w:color="auto" w:fill="EFE6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EFE6D3"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6D3" w:themeFill="accent5" w:themeFillTint="33"/>
      </w:tcPr>
    </w:tblStylePr>
    <w:tblStylePr w:type="band1Vert">
      <w:tblPr/>
      <w:tcPr>
        <w:shd w:val="clear" w:color="auto" w:fill="EFE6D3" w:themeFill="accent5" w:themeFillTint="7f"/>
      </w:tcPr>
    </w:tblStylePr>
    <w:tblStylePr w:type="band1Horz">
      <w:tblPr/>
      <w:tcPr>
        <w:tcBorders>
          <w:insideH w:val="single" w:color="4BACC6" w:themeColor="accent5" w:sz="6" w:space="0"/>
          <w:insideV w:val="single" w:color="4BACC6" w:themeColor="accent5" w:sz="6" w:space="0"/>
        </w:tcBorders>
        <w:shd w:val="clear" w:color="auto" w:fill="EFE6D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2A878"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2A878"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2A878"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2A878"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FE6D3"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FE6D3"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E6D3"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FE6D3"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FE6D3"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2A878"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A6D34"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C2A87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C2A878" w:themeFill="accent3" w:themeFillShade="bf"/>
      </w:tcPr>
    </w:tblStylePr>
    <w:tblStylePr w:type="band1Vert">
      <w:tblPr/>
      <w:tcPr>
        <w:tcBorders>
          <w:top w:val="nil"/>
          <w:left w:val="nil"/>
          <w:bottom w:val="nil"/>
          <w:right w:val="nil"/>
          <w:insideH w:val="nil"/>
          <w:insideV w:val="nil"/>
        </w:tcBorders>
        <w:shd w:val="clear" w:color="auto" w:fill="C2A878" w:themeFill="accent3" w:themeFillShade="bf"/>
      </w:tcPr>
    </w:tblStylePr>
    <w:tblStylePr w:type="band1Horz">
      <w:tblPr/>
      <w:tcPr>
        <w:tcBorders>
          <w:top w:val="nil"/>
          <w:left w:val="nil"/>
          <w:bottom w:val="nil"/>
          <w:right w:val="nil"/>
          <w:insideH w:val="nil"/>
          <w:insideV w:val="nil"/>
        </w:tcBorders>
        <w:shd w:val="clear" w:color="auto" w:fill="C2A878"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A6D34"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C2A878"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C2A878" w:themeFill="accent5" w:themeFillShade="bf"/>
      </w:tcPr>
    </w:tblStylePr>
    <w:tblStylePr w:type="band1Vert">
      <w:tblPr/>
      <w:tcPr>
        <w:tcBorders>
          <w:top w:val="nil"/>
          <w:left w:val="nil"/>
          <w:bottom w:val="nil"/>
          <w:right w:val="nil"/>
          <w:insideH w:val="nil"/>
          <w:insideV w:val="nil"/>
        </w:tcBorders>
        <w:shd w:val="clear" w:color="auto" w:fill="C2A878" w:themeFill="accent5" w:themeFillShade="bf"/>
      </w:tcPr>
    </w:tblStylePr>
    <w:tblStylePr w:type="band1Horz">
      <w:tblPr/>
      <w:tcPr>
        <w:tcBorders>
          <w:top w:val="nil"/>
          <w:left w:val="nil"/>
          <w:bottom w:val="nil"/>
          <w:right w:val="nil"/>
          <w:insideH w:val="nil"/>
          <w:insideV w:val="nil"/>
        </w:tcBorders>
        <w:shd w:val="clear" w:color="auto" w:fill="C2A878"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EFE6D3"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C2A878" w:themeColor="accent3" w:sz="4" w:space="0"/>
        <w:bottom w:val="single" w:color="C2A878" w:themeColor="accent3" w:sz="4" w:space="0"/>
        <w:right w:val="single" w:color="C2A878"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A6D34" w:themeFill="accent3" w:themeFillShade="99"/>
      </w:tcPr>
    </w:tblStylePr>
    <w:tblStylePr w:type="firstCol">
      <w:rPr>
        <w:color w:val="ffffff" w:themeColor="background1"/>
      </w:rPr>
      <w:tblPr/>
      <w:tcPr>
        <w:tcBorders>
          <w:top w:val="nil"/>
          <w:left w:val="nil"/>
          <w:bottom w:val="nil"/>
          <w:right w:val="nil"/>
          <w:insideH w:val="single" w:color="8A6D34" w:themeColor="accent3" w:sz="4" w:space="0"/>
          <w:insideV w:val="nil"/>
        </w:tcBorders>
        <w:shd w:val="clear" w:color="auto" w:fill="8A6D3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A6D34" w:themeFill="accent3" w:themeFillShade="99"/>
      </w:tcPr>
    </w:tblStylePr>
    <w:tblStylePr w:type="band1Vert">
      <w:tblPr/>
      <w:tcPr>
        <w:shd w:val="clear" w:color="auto" w:fill="EFE6D3" w:themeFill="accent3" w:themeFillTint="66"/>
      </w:tcPr>
    </w:tblStylePr>
    <w:tblStylePr w:type="band1Horz">
      <w:tblPr/>
      <w:tcPr>
        <w:shd w:val="clear" w:color="auto" w:fill="EFE6D3"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C2A878"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C2A878"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A6D34" w:themeFill="accent5" w:themeFillShade="99"/>
      </w:tcPr>
    </w:tblStylePr>
    <w:tblStylePr w:type="firstCol">
      <w:rPr>
        <w:color w:val="ffffff" w:themeColor="background1"/>
      </w:rPr>
      <w:tblPr/>
      <w:tcPr>
        <w:tcBorders>
          <w:top w:val="nil"/>
          <w:left w:val="nil"/>
          <w:bottom w:val="nil"/>
          <w:right w:val="nil"/>
          <w:insideH w:val="single" w:color="8A6D34" w:themeColor="accent5" w:sz="4" w:space="0"/>
          <w:insideV w:val="nil"/>
        </w:tcBorders>
        <w:shd w:val="clear" w:color="auto" w:fill="8A6D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A6D34" w:themeFill="accent5" w:themeFillShade="99"/>
      </w:tcPr>
    </w:tblStylePr>
    <w:tblStylePr w:type="band1Vert">
      <w:tblPr/>
      <w:tcPr>
        <w:shd w:val="clear" w:color="auto" w:fill="EFE6D3" w:themeFill="accent5" w:themeFillTint="66"/>
      </w:tcPr>
    </w:tblStylePr>
    <w:tblStylePr w:type="band1Horz">
      <w:tblPr/>
      <w:tcPr>
        <w:shd w:val="clear" w:color="auto" w:fill="EFE6D3"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C2A878" w:themeFill="accent3" w:themeFillShade="cc"/>
      </w:tcPr>
    </w:tblStylePr>
    <w:tblStylePr w:type="lastRow">
      <w:rPr>
        <w:b/>
        <w:bCs/>
        <w:color w:val="c2a878"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E6D3" w:themeFill="accent5" w:themeFillTint="3f"/>
      </w:tcPr>
    </w:tblStylePr>
    <w:tblStylePr w:type="band1Horz">
      <w:tblPr/>
      <w:tcPr>
        <w:shd w:val="clear" w:color="auto" w:fill="EFE6D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C2A878" w:themeFill="accent5" w:themeFillShade="cc"/>
      </w:tcPr>
    </w:tblStylePr>
    <w:tblStylePr w:type="lastRow">
      <w:rPr>
        <w:b/>
        <w:bCs/>
        <w:color w:val="c2a878"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EFE6D3" w:themeFill="accent1" w:themeFillTint="66"/>
      </w:tcPr>
    </w:tblStylePr>
    <w:tblStylePr w:type="lastRow">
      <w:rPr>
        <w:b/>
        <w:bCs/>
        <w:color w:val="000000" w:themeColor="text1"/>
      </w:rPr>
      <w:tblPr/>
      <w:tcPr>
        <w:shd w:val="clear" w:color="auto" w:fill="EFE6D3"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EFE6D3" w:themeFill="accent3" w:themeFillTint="66"/>
      </w:tcPr>
    </w:tblStylePr>
    <w:tblStylePr w:type="lastRow">
      <w:rPr>
        <w:b/>
        <w:bCs/>
        <w:color w:val="000000" w:themeColor="text1"/>
      </w:rPr>
      <w:tblPr/>
      <w:tcPr>
        <w:shd w:val="clear" w:color="auto" w:fill="EFE6D3" w:themeFill="accent3" w:themeFillTint="66"/>
      </w:tcPr>
    </w:tblStylePr>
    <w:tblStylePr w:type="firstCol">
      <w:rPr>
        <w:color w:val="ffffff" w:themeColor="background1"/>
      </w:rPr>
      <w:tblPr/>
      <w:tcPr>
        <w:shd w:val="clear" w:color="auto" w:fill="C2A878" w:themeFill="accent3" w:themeFillShade="bf"/>
      </w:tcPr>
    </w:tblStylePr>
    <w:tblStylePr w:type="lastCol">
      <w:rPr>
        <w:color w:val="ffffff" w:themeColor="background1"/>
      </w:rPr>
      <w:tblPr/>
      <w:tcPr>
        <w:shd w:val="clear" w:color="auto" w:fill="C2A878" w:themeFill="accent3" w:themeFillShade="bf"/>
      </w:tcPr>
    </w:tblStylePr>
    <w:tblStylePr w:type="band1Vert">
      <w:tblPr/>
      <w:tcPr>
        <w:shd w:val="clear" w:color="auto" w:fill="EFE6D3" w:themeFill="accent3" w:themeFillTint="7f"/>
      </w:tcPr>
    </w:tblStylePr>
    <w:tblStylePr w:type="band1Horz">
      <w:tblPr/>
      <w:tcPr>
        <w:shd w:val="clear" w:color="auto" w:fill="EFE6D3"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FE6D3" w:themeFill="accent5" w:themeFillTint="33"/>
    </w:tcPr>
    <w:tblStylePr w:type="firstRow">
      <w:rPr>
        <w:b/>
        <w:bCs/>
      </w:rPr>
      <w:tblPr/>
      <w:tcPr>
        <w:shd w:val="clear" w:color="auto" w:fill="EFE6D3" w:themeFill="accent5" w:themeFillTint="66"/>
      </w:tcPr>
    </w:tblStylePr>
    <w:tblStylePr w:type="lastRow">
      <w:rPr>
        <w:b/>
        <w:bCs/>
        <w:color w:val="000000" w:themeColor="text1"/>
      </w:rPr>
      <w:tblPr/>
      <w:tcPr>
        <w:shd w:val="clear" w:color="auto" w:fill="EFE6D3" w:themeFill="accent5" w:themeFillTint="66"/>
      </w:tcPr>
    </w:tblStylePr>
    <w:tblStylePr w:type="firstCol">
      <w:rPr>
        <w:color w:val="ffffff" w:themeColor="background1"/>
      </w:rPr>
      <w:tblPr/>
      <w:tcPr>
        <w:shd w:val="clear" w:color="auto" w:fill="C2A878" w:themeFill="accent5" w:themeFillShade="bf"/>
      </w:tcPr>
    </w:tblStylePr>
    <w:tblStylePr w:type="lastCol">
      <w:rPr>
        <w:color w:val="ffffff" w:themeColor="background1"/>
      </w:rPr>
      <w:tblPr/>
      <w:tcPr>
        <w:shd w:val="clear" w:color="auto" w:fill="C2A878" w:themeFill="accent5" w:themeFillShade="bf"/>
      </w:tcPr>
    </w:tblStylePr>
    <w:tblStylePr w:type="band1Vert">
      <w:tblPr/>
      <w:tcPr>
        <w:shd w:val="clear" w:color="auto" w:fill="EFE6D3" w:themeFill="accent5" w:themeFillTint="7f"/>
      </w:tcPr>
    </w:tblStylePr>
    <w:tblStylePr w:type="band1Horz">
      <w:tblPr/>
      <w:tcPr>
        <w:shd w:val="clear" w:color="auto" w:fill="EFE6D3"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C2A878"/>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6D34-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LibreOffice/26.2.2.2$MacOSX_AARCH64 LibreOffice_project/1f77d10d6938fd34972958f64b2bcfa54f8b1ba5</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2013-12-23T23:15:00Z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