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01114"/>
          <w:sz w:val="22"/>
          <w:szCs w:val="22"/>
        </w:rPr>
        <w:t xml:space="preserve">Our Ref: </w:t>
      </w:r>
      <w:r>
        <w:rPr>
          <w:rFonts w:ascii="Arial" w:cs="Arial" w:eastAsia="Arial" w:hAnsi="Arial"/>
          <w:color w:val="101114"/>
          <w:sz w:val="22"/>
          <w:szCs w:val="22"/>
        </w:rPr>
        <w:t xml:space="preserve">SD/NGQ/2026/014-R1</w:t>
      </w:r>
    </w:p>
    <w:p>
      <w:pPr>
        <w:spacing w:after="120"/>
      </w:pPr>
      <w:r>
        <w:rPr>
          <w:rFonts w:ascii="Arial" w:cs="Arial" w:eastAsia="Arial" w:hAnsi="Arial"/>
          <w:b/>
          <w:bCs/>
          <w:color w:val="101114"/>
          <w:sz w:val="22"/>
          <w:szCs w:val="22"/>
        </w:rPr>
        <w:t xml:space="preserve">Your Ref: </w:t>
      </w:r>
      <w:r>
        <w:rPr>
          <w:rFonts w:ascii="Arial" w:cs="Arial" w:eastAsia="Arial" w:hAnsi="Arial"/>
          <w:color w:val="101114"/>
          <w:sz w:val="22"/>
          <w:szCs w:val="22"/>
        </w:rPr>
        <w:t xml:space="preserve">CV-NGQ-TDD-014 Rev C</w:t>
      </w:r>
    </w:p>
    <w:p>
      <w:pPr>
        <w:spacing w:after="160"/>
      </w:pPr>
      <w:r>
        <w:rPr>
          <w:rFonts w:ascii="Arial" w:cs="Arial" w:eastAsia="Arial" w:hAnsi="Arial"/>
          <w:b/>
          <w:bCs/>
          <w:color w:val="101114"/>
          <w:sz w:val="22"/>
          <w:szCs w:val="22"/>
        </w:rPr>
        <w:t xml:space="preserve">Date: </w:t>
      </w:r>
      <w:r>
        <w:rPr>
          <w:rFonts w:ascii="Arial" w:cs="Arial" w:eastAsia="Arial" w:hAnsi="Arial"/>
          <w:color w:val="101114"/>
          <w:sz w:val="22"/>
          <w:szCs w:val="22"/>
        </w:rPr>
        <w:t xml:space="preserve">27 July 2026</w:t>
      </w:r>
    </w:p>
    <w:p>
      <w:pPr>
        <w:spacing w:after="40"/>
      </w:pPr>
      <w:r>
        <w:rPr>
          <w:rFonts w:ascii="Arial" w:cs="Arial" w:eastAsia="Arial" w:hAnsi="Arial"/>
          <w:b/>
          <w:bCs/>
          <w:color w:val="101114"/>
          <w:sz w:val="22"/>
          <w:szCs w:val="22"/>
        </w:rPr>
        <w:t xml:space="preserve">To: </w:t>
      </w:r>
      <w:r>
        <w:rPr>
          <w:rFonts w:ascii="Arial" w:cs="Arial" w:eastAsia="Arial" w:hAnsi="Arial"/>
          <w:color w:val="101114"/>
          <w:sz w:val="22"/>
          <w:szCs w:val="22"/>
        </w:rPr>
        <w:t xml:space="preserve">Calderon Vance, Construction &amp; Engineering Consultants</w:t>
      </w:r>
    </w:p>
    <w:p>
      <w:pPr>
        <w:spacing w:after="40"/>
      </w:pPr>
      <w:r>
        <w:rPr>
          <w:rFonts w:ascii="Arial" w:cs="Arial" w:eastAsia="Arial" w:hAnsi="Arial"/>
          <w:b/>
          <w:bCs/>
          <w:color w:val="101114"/>
          <w:sz w:val="22"/>
          <w:szCs w:val="22"/>
        </w:rPr>
        <w:t xml:space="preserve">Attn: </w:t>
      </w:r>
      <w:r>
        <w:rPr>
          <w:rFonts w:ascii="Arial" w:cs="Arial" w:eastAsia="Arial" w:hAnsi="Arial"/>
          <w:color w:val="101114"/>
          <w:sz w:val="22"/>
          <w:szCs w:val="22"/>
        </w:rPr>
        <w:t xml:space="preserve">Mr. D. Calderon</w:t>
      </w:r>
    </w:p>
    <w:p>
      <w:pPr>
        <w:spacing w:after="120"/>
      </w:pPr>
      <w:r>
        <w:rPr>
          <w:rFonts w:ascii="Arial" w:cs="Arial" w:eastAsia="Arial" w:hAnsi="Arial"/>
          <w:color w:val="101114"/>
          <w:sz w:val="22"/>
          <w:szCs w:val="22"/>
        </w:rPr>
        <w:t xml:space="preserve">Principal</w:t>
      </w:r>
    </w:p>
    <w:p>
      <w:pPr>
        <w:spacing w:after="40"/>
      </w:pPr>
      <w:r>
        <w:rPr>
          <w:rFonts w:ascii="Arial" w:cs="Arial" w:eastAsia="Arial" w:hAnsi="Arial"/>
          <w:b/>
          <w:bCs/>
          <w:color w:val="101114"/>
          <w:sz w:val="22"/>
          <w:szCs w:val="22"/>
        </w:rPr>
        <w:t xml:space="preserve">Project: </w:t>
      </w:r>
      <w:r>
        <w:rPr>
          <w:rFonts w:ascii="Arial" w:cs="Arial" w:eastAsia="Arial" w:hAnsi="Arial"/>
          <w:color w:val="101114"/>
          <w:sz w:val="22"/>
          <w:szCs w:val="22"/>
        </w:rPr>
        <w:t xml:space="preserve">Northgate Quarter - Mixed-use development</w:t>
      </w:r>
    </w:p>
    <w:p>
      <w:pPr>
        <w:spacing w:after="160"/>
      </w:pPr>
      <w:r>
        <w:rPr>
          <w:rFonts w:ascii="Arial" w:cs="Arial" w:eastAsia="Arial" w:hAnsi="Arial"/>
          <w:b/>
          <w:bCs/>
          <w:color w:val="101114"/>
          <w:sz w:val="22"/>
          <w:szCs w:val="22"/>
        </w:rPr>
        <w:t xml:space="preserve">Document: </w:t>
      </w:r>
      <w:r>
        <w:rPr>
          <w:rFonts w:ascii="Arial" w:cs="Arial" w:eastAsia="Arial" w:hAnsi="Arial"/>
          <w:color w:val="101114"/>
          <w:sz w:val="22"/>
          <w:szCs w:val="22"/>
        </w:rPr>
        <w:t xml:space="preserve">Technical Due Diligence &amp; Construction Readiness Review, Rev C, 9 July 2026</w:t>
      </w:r>
    </w:p>
    <w:p>
      <w:pPr>
        <w:spacing w:after="160"/>
      </w:pPr>
      <w:r>
        <w:rPr>
          <w:rFonts w:ascii="Arial" w:cs="Arial" w:eastAsia="Arial" w:hAnsi="Arial"/>
          <w:b/>
          <w:bCs/>
          <w:color w:val="101114"/>
          <w:sz w:val="22"/>
          <w:szCs w:val="22"/>
        </w:rPr>
        <w:t xml:space="preserve">Subject: </w:t>
      </w:r>
      <w:r>
        <w:rPr>
          <w:rFonts w:ascii="Arial" w:cs="Arial" w:eastAsia="Arial" w:hAnsi="Arial"/>
          <w:b/>
          <w:bCs/>
          <w:color w:val="101114"/>
          <w:sz w:val="22"/>
          <w:szCs w:val="22"/>
        </w:rPr>
        <w:t xml:space="preserve">Report CV-NGQ-TDD-014 Rev C - review comments and request for reissue</w:t>
      </w:r>
    </w:p>
    <w:p>
      <w:pPr>
        <w:pBdr>
          <w:bottom w:val="single" w:color="999999" w:sz="4" w:space="1"/>
        </w:pBdr>
        <w:spacing w:after="200"/>
      </w:pPr>
    </w:p>
    <w:p>
      <w:pPr>
        <w:spacing w:after="160"/>
      </w:pPr>
      <w:r>
        <w:rPr>
          <w:rFonts w:ascii="Arial" w:cs="Arial" w:eastAsia="Arial" w:hAnsi="Arial"/>
          <w:color w:val="101114"/>
          <w:sz w:val="22"/>
          <w:szCs w:val="22"/>
        </w:rPr>
        <w:t xml:space="preserve">Dear Mr. Calderon,</w:t>
      </w:r>
    </w:p>
    <w:p>
      <w:pPr>
        <w:spacing w:after="160" w:line="240"/>
      </w:pPr>
      <w:r>
        <w:rPr>
          <w:rFonts w:ascii="Arial" w:cs="Arial" w:eastAsia="Arial" w:hAnsi="Arial"/>
          <w:color w:val="101114"/>
          <w:sz w:val="22"/>
          <w:szCs w:val="22"/>
        </w:rPr>
        <w:t xml:space="preserve">We have reviewed your Technical Due Diligence &amp; Construction Readiness Review for Northgate Quarter (Ref CV-NGQ-TDD-014 Rev C, dated 9 July 2026, issued for client review). The report is well structured and its identification of the facade package as the principal risk is sound. Before it can be relied on for a management decision, the following matters require correction or clarification. For avoidance of doubt, our comments do not dispute the substance of your technical findings; they concern the internal consistency of the report and the presentation of the commercial and life-safety position.</w:t>
      </w:r>
    </w:p>
    <w:p>
      <w:pPr>
        <w:spacing w:after="100" w:before="200"/>
      </w:pPr>
      <w:r>
        <w:rPr>
          <w:rFonts w:ascii="Arial" w:cs="Arial" w:eastAsia="Arial" w:hAnsi="Arial"/>
          <w:b/>
          <w:bCs/>
          <w:color w:val="101114"/>
          <w:sz w:val="22"/>
          <w:szCs w:val="22"/>
        </w:rPr>
        <w:t xml:space="preserve">1. Commercial position and contingency</w:t>
      </w:r>
    </w:p>
    <w:p>
      <w:pPr>
        <w:spacing w:after="160" w:line="240"/>
      </w:pPr>
      <w:r>
        <w:rPr>
          <w:rFonts w:ascii="Arial" w:cs="Arial" w:eastAsia="Arial" w:hAnsi="Arial"/>
          <w:color w:val="101114"/>
          <w:sz w:val="22"/>
          <w:szCs w:val="22"/>
        </w:rPr>
        <w:t xml:space="preserve">Section 12 leads with a forecast final cost of 313.6 against a budget of 313.5, described as a net movement of +0.1. This near-neutral headline holds only because the contingency has been drawn down by 6.5 (from 18.0 to 11.5) at a point where commitment stands at approximately half the forecast, and while the two largest risk packages, facade and fit-out, remain unlet and already carry budget-risk flags in Section 11. The report should present the position around contingency erosion and pre-let exposure rather than the net figure alone. Please reissue Section 12 to show the forecast on the stated risk assumptions, and confirm the currency, which is not defined anywhere in the report.</w:t>
      </w:r>
    </w:p>
    <w:p>
      <w:pPr>
        <w:spacing w:after="100" w:before="200"/>
      </w:pPr>
      <w:r>
        <w:rPr>
          <w:rFonts w:ascii="Arial" w:cs="Arial" w:eastAsia="Arial" w:hAnsi="Arial"/>
          <w:b/>
          <w:bCs/>
          <w:color w:val="101114"/>
          <w:sz w:val="22"/>
          <w:szCs w:val="22"/>
        </w:rPr>
        <w:t xml:space="preserve">2. Readiness registers - internal inconsistencies</w:t>
      </w:r>
    </w:p>
    <w:p>
      <w:pPr>
        <w:spacing w:after="160" w:line="240"/>
      </w:pPr>
      <w:r>
        <w:rPr>
          <w:rFonts w:ascii="Arial" w:cs="Arial" w:eastAsia="Arial" w:hAnsi="Arial"/>
          <w:color w:val="101114"/>
          <w:sz w:val="22"/>
          <w:szCs w:val="22"/>
        </w:rPr>
        <w:t xml:space="preserve">Section 8 states that twelve significant technical queries were open or recently answered, but the log that follows lists twenty-seven (RFI-001 to RFI-027). Separately, throughout Section 6 and Appendix A a number of drawings are shown with a status of "IFC" (issued for construction) alongside a review outcome of "Rejected - resubmit", and others show "Superseded" against "Approved w/ comment". These states are mutually exclusive, and the readiness conclusion rests in part on the count of drawings said to be issued for construction. Please correct the query count, clean the drawing register so status and review outcome reconcile, and reissue the design-completeness figures that depend on them.</w:t>
      </w:r>
    </w:p>
    <w:p>
      <w:pPr>
        <w:spacing w:after="100" w:before="200"/>
      </w:pPr>
      <w:r>
        <w:rPr>
          <w:rFonts w:ascii="Arial" w:cs="Arial" w:eastAsia="Arial" w:hAnsi="Arial"/>
          <w:b/>
          <w:bCs/>
          <w:color w:val="101114"/>
          <w:sz w:val="22"/>
          <w:szCs w:val="22"/>
        </w:rPr>
        <w:t xml:space="preserve">3. Fire and life-safety severity ratings</w:t>
      </w:r>
    </w:p>
    <w:p>
      <w:pPr>
        <w:spacing w:after="160" w:line="240"/>
      </w:pPr>
      <w:r>
        <w:rPr>
          <w:rFonts w:ascii="Arial" w:cs="Arial" w:eastAsia="Arial" w:hAnsi="Arial"/>
          <w:color w:val="101114"/>
          <w:sz w:val="22"/>
          <w:szCs w:val="22"/>
        </w:rPr>
        <w:t xml:space="preserve">The missing fire-damper schedule for the basement transfer-duct penetrations (RFI-005, OI-04) and the incomplete fire-stopping to riser penetrations (OBS-008) are each rated Medium, yet the report itself describes them as life-safety items that must be closed before the relevant floors are handed over. A Medium rating is inconsistent with that description. Please re-rate these items in line with their life-safety consequence, or set out the basis on which Medium is retained.</w:t>
      </w:r>
    </w:p>
    <w:p>
      <w:pPr>
        <w:spacing w:after="100" w:before="200"/>
      </w:pPr>
      <w:r>
        <w:rPr>
          <w:rFonts w:ascii="Arial" w:cs="Arial" w:eastAsia="Arial" w:hAnsi="Arial"/>
          <w:b/>
          <w:bCs/>
          <w:color w:val="101114"/>
          <w:sz w:val="22"/>
          <w:szCs w:val="22"/>
        </w:rPr>
        <w:t xml:space="preserve">4. Programme rate versus topping-out milestone</w:t>
      </w:r>
    </w:p>
    <w:p>
      <w:pPr>
        <w:spacing w:after="160" w:line="240"/>
      </w:pPr>
      <w:r>
        <w:rPr>
          <w:rFonts w:ascii="Arial" w:cs="Arial" w:eastAsia="Arial" w:hAnsi="Arial"/>
          <w:color w:val="101114"/>
          <w:sz w:val="22"/>
          <w:szCs w:val="22"/>
        </w:rPr>
        <w:t xml:space="preserve">Section 10 reports the tower at Level 21, a production rate of approximately one floor per nine working days, and a topping-out milestone of November 2026 shown as on track. Thirteen floors remain to Level 34, which at the stated rate is of the order of 117 working days, or roughly five and a half months, placing topping out nearer the turn of the year than November. Please confirm the production rate assumed for the remaining floors and reconcile it with the November milestone, or restate the milestone accordingly.</w:t>
      </w:r>
    </w:p>
    <w:p>
      <w:pPr>
        <w:pBdr>
          <w:bottom w:val="single" w:color="C2A878" w:sz="8" w:space="1"/>
        </w:pBdr>
        <w:spacing w:after="200"/>
      </w:pPr>
    </w:p>
    <w:p>
      <w:pPr>
        <w:spacing w:after="160" w:line="240"/>
      </w:pPr>
      <w:r>
        <w:rPr>
          <w:rFonts w:ascii="Arial" w:cs="Arial" w:eastAsia="Arial" w:hAnsi="Arial"/>
          <w:color w:val="101114"/>
          <w:sz w:val="22"/>
          <w:szCs w:val="22"/>
        </w:rPr>
        <w:t xml:space="preserve">We would be grateful for a reissued report, or a written response addressing each of the four points above, within ten working days, that is by 10 August 2026. Until these matters are resolved, the report should not be treated as a settled basis for the commercial or completion position it describes.</w:t>
      </w:r>
    </w:p>
    <w:p>
      <w:pPr>
        <w:spacing w:after="160" w:line="240"/>
      </w:pPr>
      <w:r>
        <w:rPr>
          <w:rFonts w:ascii="Arial" w:cs="Arial" w:eastAsia="Arial" w:hAnsi="Arial"/>
          <w:color w:val="101114"/>
          <w:sz w:val="22"/>
          <w:szCs w:val="22"/>
        </w:rPr>
        <w:t xml:space="preserve">Please contact the undersigned should any point require clarification.</w:t>
      </w:r>
    </w:p>
    <w:p>
      <w:pPr>
        <w:spacing w:after="0" w:before="200"/>
      </w:pPr>
      <w:r>
        <w:rPr>
          <w:rFonts w:ascii="Arial" w:cs="Arial" w:eastAsia="Arial" w:hAnsi="Arial"/>
          <w:color w:val="101114"/>
          <w:sz w:val="22"/>
          <w:szCs w:val="22"/>
        </w:rPr>
        <w:t xml:space="preserve">Sincerely,</w:t>
      </w:r>
    </w:p>
    <w:p>
      <w:pPr>
        <w:spacing w:after="0"/>
      </w:pPr>
    </w:p>
    <w:p>
      <w:pPr>
        <w:spacing w:after="0"/>
      </w:pPr>
    </w:p>
    <w:p>
      <w:pPr>
        <w:spacing w:after="0"/>
      </w:pPr>
    </w:p>
    <w:p>
      <w:pPr>
        <w:spacing w:after="0"/>
      </w:pPr>
    </w:p>
    <w:p>
      <w:pPr>
        <w:spacing w:after="0"/>
      </w:pPr>
      <w:r>
        <w:rPr>
          <w:rFonts w:ascii="Arial" w:cs="Arial" w:eastAsia="Arial" w:hAnsi="Arial"/>
          <w:b/>
          <w:bCs/>
          <w:color w:val="C8612E"/>
          <w:sz w:val="22"/>
          <w:szCs w:val="22"/>
        </w:rPr>
        <w:t xml:space="preserve">Stuart Nunn</w:t>
      </w:r>
      <w:r>
        <w:rPr>
          <w:rFonts w:ascii="Arial" w:cs="Arial" w:eastAsia="Arial" w:hAnsi="Arial"/>
          <w:color w:val="101114"/>
          <w:sz w:val="22"/>
          <w:szCs w:val="22"/>
        </w:rPr>
        <w:t xml:space="preserve"> | Technical Reviewer</w:t>
      </w:r>
    </w:p>
    <w:p>
      <w:pPr>
        <w:spacing w:after="200"/>
      </w:pPr>
      <w:r>
        <w:rPr>
          <w:rFonts w:ascii="Arial" w:cs="Arial" w:eastAsia="Arial" w:hAnsi="Arial"/>
          <w:color w:val="101114"/>
          <w:sz w:val="22"/>
          <w:szCs w:val="22"/>
        </w:rPr>
        <w:t xml:space="preserve">Stuart Digital</w:t>
      </w:r>
    </w:p>
    <w:p>
      <w:pPr>
        <w:spacing w:after="40" w:before="120"/>
      </w:pPr>
      <w:r>
        <w:rPr>
          <w:rFonts w:ascii="Arial" w:cs="Arial" w:eastAsia="Arial" w:hAnsi="Arial"/>
          <w:b/>
          <w:bCs/>
          <w:color w:val="101114"/>
          <w:sz w:val="22"/>
          <w:szCs w:val="22"/>
        </w:rPr>
        <w:t xml:space="preserve">Cc:</w:t>
      </w:r>
    </w:p>
    <w:p>
      <w:pPr>
        <w:spacing w:after="20"/>
      </w:pPr>
      <w:r>
        <w:rPr>
          <w:rFonts w:ascii="Arial" w:cs="Arial" w:eastAsia="Arial" w:hAnsi="Arial"/>
          <w:color w:val="101114"/>
          <w:sz w:val="22"/>
          <w:szCs w:val="22"/>
        </w:rPr>
        <w:t xml:space="preserve">File</w:t>
      </w:r>
    </w:p>
    <w:p>
      <w:pPr>
        <w:spacing w:after="40" w:before="160"/>
      </w:pPr>
      <w:r>
        <w:rPr>
          <w:rFonts w:ascii="Arial" w:cs="Arial" w:eastAsia="Arial" w:hAnsi="Arial"/>
          <w:b/>
          <w:bCs/>
          <w:color w:val="101114"/>
          <w:sz w:val="22"/>
          <w:szCs w:val="22"/>
        </w:rPr>
        <w:t xml:space="preserve">Attachments:</w:t>
      </w:r>
    </w:p>
    <w:p>
      <w:pPr>
        <w:spacing w:after="0"/>
      </w:pPr>
      <w:r>
        <w:rPr>
          <w:rFonts w:ascii="Arial" w:cs="Arial" w:eastAsia="Arial" w:hAnsi="Arial"/>
          <w:color w:val="101114"/>
          <w:sz w:val="22"/>
          <w:szCs w:val="22"/>
        </w:rPr>
        <w:t xml:space="preserve">1. Northgate Quarter - Executive Summary (Stuart Digital), 9 July 2026 report reviewed</w:t>
      </w:r>
    </w:p>
    <w:sectPr>
      <w:headerReference w:type="default" r:id="rId7"/>
      <w:footerReference w:type="default" r:id="rId8"/>
      <w:pgSz w:w="11906" w:h="16838" w:orient="portrait"/>
      <w:pgMar w:top="216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66666"/>
        <w:sz w:val="16"/>
        <w:szCs w:val="16"/>
      </w:rPr>
      <w:t xml:space="preserve">Northgate Quarter - Technical Due Diligence Review, Request for Reissue | Ref: SD/NGQ/2026/014-R1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30"/>
    </w:pPr>
    <w:r>
      <w:rPr>
        <w:rFonts w:ascii="Arial" w:cs="Arial" w:eastAsia="Arial" w:hAnsi="Arial"/>
        <w:b/>
        <w:bCs/>
        <w:color w:val="101114"/>
        <w:sz w:val="36"/>
        <w:szCs w:val="36"/>
      </w:rPr>
      <w:t xml:space="preserve">Stuart</w:t>
    </w:r>
    <w:r>
      <w:rPr>
        <w:rFonts w:ascii="Arial" w:cs="Arial" w:eastAsia="Arial" w:hAnsi="Arial"/>
        <w:b/>
        <w:bCs/>
        <w:color w:val="C8612E"/>
        <w:sz w:val="36"/>
        <w:szCs w:val="36"/>
      </w:rPr>
      <w:t xml:space="preserve">Digital</w:t>
    </w:r>
  </w:p>
  <w:p>
    <w:pPr>
      <w:spacing w:after="90"/>
    </w:pPr>
    <w:r>
      <w:rPr>
        <w:rFonts w:ascii="Arial" w:cs="Arial" w:eastAsia="Arial" w:hAnsi="Arial"/>
        <w:b/>
        <w:bCs/>
        <w:color w:val="C2A878"/>
        <w:sz w:val="15"/>
        <w:szCs w:val="15"/>
      </w:rPr>
      <w:t xml:space="preserve">C L A U D E,   P U T   T O   W O R K</w:t>
    </w:r>
  </w:p>
  <w:p>
    <w:pPr>
      <w:pBdr>
        <w:bottom w:val="single" w:color="C2A878" w:sz="18" w:space="1"/>
      </w:pBd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Northgate Quarter - TDD Rev C - Request for Reissue</dc:title>
  <dc:creator>Stuart Digital</dc:creator>
  <cp:lastModifiedBy>Un-named</cp:lastModifiedBy>
  <cp:revision>1</cp:revision>
  <dcterms:created xsi:type="dcterms:W3CDTF">2026-07-27T04:31:31.872Z</dcterms:created>
  <dcterms:modified xsi:type="dcterms:W3CDTF">2026-07-27T04:31:31.893Z</dcterms:modified>
</cp:coreProperties>
</file>

<file path=docProps/custom.xml><?xml version="1.0" encoding="utf-8"?>
<Properties xmlns="http://schemas.openxmlformats.org/officeDocument/2006/custom-properties" xmlns:vt="http://schemas.openxmlformats.org/officeDocument/2006/docPropsVTypes"/>
</file>